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ind w:firstLine="0"/>
        <w:jc w:val="left"/>
        <w:rPr>
          <w:rFonts w:hint="default" w:ascii="Times New Roman" w:hAnsi="Times New Roman" w:eastAsia="方正仿宋简体" w:cs="Times New Roman"/>
          <w:b w:val="0"/>
          <w:bCs/>
          <w:sz w:val="32"/>
          <w:szCs w:val="32"/>
          <w:lang w:eastAsia="zh-CN"/>
        </w:rPr>
      </w:pPr>
      <w:r>
        <w:rPr>
          <w:rFonts w:hint="eastAsia" w:ascii="黑体" w:hAnsi="黑体" w:eastAsia="黑体" w:cs="黑体"/>
          <w:color w:val="000000"/>
          <w:sz w:val="32"/>
          <w:szCs w:val="32"/>
          <w:lang w:val="en-US" w:eastAsia="zh-CN"/>
        </w:rPr>
        <w:t>LSDR-2022-0010001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简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简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文星仿宋" w:eastAsia="方正小标宋简体" w:cs="Times New Roman"/>
          <w:b/>
          <w:color w:val="000000"/>
          <w:sz w:val="44"/>
          <w:szCs w:val="44"/>
        </w:rPr>
      </w:pPr>
      <w:r>
        <w:rPr>
          <w:rFonts w:hint="default" w:ascii="Times New Roman" w:hAnsi="Times New Roman" w:eastAsia="方正仿宋简体" w:cs="Times New Roman"/>
          <w:b w:val="0"/>
          <w:bCs/>
          <w:sz w:val="32"/>
          <w:szCs w:val="32"/>
          <w:lang w:eastAsia="zh-CN"/>
        </w:rPr>
        <w:t>梁</w:t>
      </w:r>
      <w:r>
        <w:rPr>
          <w:rFonts w:hint="default" w:ascii="Times New Roman" w:hAnsi="Times New Roman" w:eastAsia="方正仿宋简体" w:cs="Times New Roman"/>
          <w:b w:val="0"/>
          <w:bCs/>
          <w:sz w:val="32"/>
          <w:szCs w:val="32"/>
        </w:rPr>
        <w:t>政发〔20</w:t>
      </w:r>
      <w:r>
        <w:rPr>
          <w:rFonts w:hint="eastAsia" w:ascii="Times New Roman" w:hAnsi="Times New Roman" w:eastAsia="方正仿宋简体" w:cs="Times New Roman"/>
          <w:b w:val="0"/>
          <w:bCs/>
          <w:sz w:val="32"/>
          <w:szCs w:val="32"/>
          <w:lang w:val="en-US" w:eastAsia="zh-CN"/>
        </w:rPr>
        <w:t>22</w:t>
      </w:r>
      <w:r>
        <w:rPr>
          <w:rFonts w:hint="default" w:ascii="Times New Roman" w:hAnsi="Times New Roman" w:eastAsia="方正仿宋简体" w:cs="Times New Roman"/>
          <w:b w:val="0"/>
          <w:bCs/>
          <w:sz w:val="32"/>
          <w:szCs w:val="32"/>
        </w:rPr>
        <w:t>〕</w:t>
      </w: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号</w:t>
      </w:r>
    </w:p>
    <w:p>
      <w:pPr>
        <w:keepNext w:val="0"/>
        <w:keepLines w:val="0"/>
        <w:pageBreakBefore w:val="0"/>
        <w:widowControl w:val="0"/>
        <w:tabs>
          <w:tab w:val="left" w:pos="8730"/>
        </w:tabs>
        <w:kinsoku/>
        <w:wordWrap/>
        <w:overflowPunct/>
        <w:topLinePunct w:val="0"/>
        <w:autoSpaceDE/>
        <w:autoSpaceDN/>
        <w:bidi w:val="0"/>
        <w:adjustRightInd/>
        <w:snapToGrid/>
        <w:spacing w:line="700" w:lineRule="exact"/>
        <w:ind w:right="-6"/>
        <w:jc w:val="center"/>
        <w:textAlignment w:val="auto"/>
        <w:rPr>
          <w:rFonts w:hint="eastAsia" w:ascii="方正小标宋简体" w:hAnsi="Times New Roman" w:eastAsia="方正小标宋简体" w:cs="Times New Roman"/>
          <w:b w:val="0"/>
          <w:bCs/>
          <w:color w:val="000000"/>
          <w:spacing w:val="0"/>
          <w:sz w:val="44"/>
          <w:szCs w:val="44"/>
        </w:rPr>
      </w:pPr>
      <w:bookmarkStart w:id="0" w:name="标题"/>
      <w:bookmarkEnd w:id="0"/>
      <w:r>
        <w:rPr>
          <w:rFonts w:hint="eastAsia" w:ascii="方正小标宋简体" w:hAnsi="Times New Roman" w:eastAsia="方正小标宋简体" w:cs="Times New Roman"/>
          <w:b w:val="0"/>
          <w:bCs/>
          <w:spacing w:val="0"/>
          <w:sz w:val="44"/>
          <w:szCs w:val="44"/>
          <w:lang w:eastAsia="zh-CN"/>
        </w:rPr>
        <w:t>梁山县</w:t>
      </w:r>
      <w:bookmarkStart w:id="3" w:name="_GoBack"/>
      <w:bookmarkEnd w:id="3"/>
      <w:r>
        <w:rPr>
          <w:rFonts w:hint="eastAsia" w:ascii="方正小标宋简体" w:hAnsi="Times New Roman" w:eastAsia="方正小标宋简体" w:cs="Times New Roman"/>
          <w:b w:val="0"/>
          <w:bCs/>
          <w:spacing w:val="0"/>
          <w:sz w:val="44"/>
          <w:szCs w:val="44"/>
        </w:rPr>
        <w:t>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文星仿宋" w:eastAsia="方正小标宋简体" w:cs="Times New Roman"/>
          <w:b w:val="0"/>
          <w:bCs/>
          <w:spacing w:val="0"/>
          <w:sz w:val="44"/>
          <w:szCs w:val="44"/>
        </w:rPr>
      </w:pPr>
      <w:bookmarkStart w:id="1" w:name="BKsubject"/>
      <w:r>
        <w:rPr>
          <w:rFonts w:hint="eastAsia" w:ascii="方正小标宋简体" w:hAnsi="文星仿宋" w:eastAsia="方正小标宋简体" w:cs="Times New Roman"/>
          <w:b w:val="0"/>
          <w:bCs/>
          <w:spacing w:val="0"/>
          <w:sz w:val="44"/>
          <w:szCs w:val="44"/>
        </w:rPr>
        <w:t>关于印发</w:t>
      </w:r>
      <w:r>
        <w:rPr>
          <w:rFonts w:hint="eastAsia" w:ascii="方正小标宋简体" w:hAnsi="文星仿宋" w:eastAsia="方正小标宋简体" w:cs="Times New Roman"/>
          <w:b w:val="0"/>
          <w:bCs/>
          <w:spacing w:val="0"/>
          <w:sz w:val="44"/>
          <w:szCs w:val="44"/>
          <w:lang w:eastAsia="zh-CN"/>
        </w:rPr>
        <w:t>梁山县</w:t>
      </w:r>
      <w:r>
        <w:rPr>
          <w:rFonts w:hint="eastAsia" w:ascii="方正小标宋简体" w:hAnsi="文星仿宋" w:eastAsia="方正小标宋简体" w:cs="Times New Roman"/>
          <w:b w:val="0"/>
          <w:bCs/>
          <w:spacing w:val="0"/>
          <w:sz w:val="44"/>
          <w:szCs w:val="44"/>
        </w:rPr>
        <w:t>城市基础设施配套费征收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文星仿宋" w:eastAsia="方正小标宋简体" w:cs="Times New Roman"/>
          <w:b w:val="0"/>
          <w:bCs/>
          <w:spacing w:val="0"/>
          <w:sz w:val="44"/>
          <w:szCs w:val="44"/>
        </w:rPr>
      </w:pPr>
      <w:r>
        <w:rPr>
          <w:rFonts w:hint="eastAsia" w:ascii="方正小标宋简体" w:hAnsi="文星仿宋" w:eastAsia="方正小标宋简体" w:cs="Times New Roman"/>
          <w:b w:val="0"/>
          <w:bCs/>
          <w:spacing w:val="0"/>
          <w:sz w:val="44"/>
          <w:szCs w:val="44"/>
        </w:rPr>
        <w:t>使用管理办法</w:t>
      </w:r>
      <w:bookmarkEnd w:id="1"/>
      <w:r>
        <w:rPr>
          <w:rFonts w:hint="eastAsia" w:ascii="方正小标宋简体" w:hAnsi="文星仿宋" w:eastAsia="方正小标宋简体" w:cs="Times New Roman"/>
          <w:b w:val="0"/>
          <w:bCs/>
          <w:spacing w:val="0"/>
          <w:sz w:val="44"/>
          <w:szCs w:val="44"/>
        </w:rPr>
        <w:t>的通知</w:t>
      </w:r>
    </w:p>
    <w:p>
      <w:pPr>
        <w:spacing w:line="500" w:lineRule="exact"/>
        <w:rPr>
          <w:rFonts w:ascii="方正仿宋简体" w:hAnsi="文星仿宋" w:eastAsia="方正仿宋简体" w:cs="Times New Roman"/>
          <w:b/>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color w:val="000000"/>
          <w:sz w:val="32"/>
          <w:szCs w:val="32"/>
        </w:rPr>
      </w:pPr>
      <w:bookmarkStart w:id="2" w:name="Content"/>
      <w:r>
        <w:rPr>
          <w:rFonts w:hint="default" w:ascii="Times New Roman" w:hAnsi="Times New Roman" w:eastAsia="方正仿宋简体" w:cs="Times New Roman"/>
          <w:b w:val="0"/>
          <w:bCs/>
          <w:color w:val="000000"/>
          <w:sz w:val="32"/>
          <w:szCs w:val="32"/>
          <w:lang w:eastAsia="zh-CN"/>
        </w:rPr>
        <w:t>各乡镇</w:t>
      </w:r>
      <w:r>
        <w:rPr>
          <w:rFonts w:hint="default" w:ascii="Times New Roman" w:hAnsi="Times New Roman" w:eastAsia="方正仿宋简体" w:cs="Times New Roman"/>
          <w:b w:val="0"/>
          <w:bCs/>
          <w:color w:val="000000"/>
          <w:sz w:val="32"/>
          <w:szCs w:val="32"/>
        </w:rPr>
        <w:t>人民政府</w:t>
      </w:r>
      <w:r>
        <w:rPr>
          <w:rFonts w:hint="default" w:ascii="Times New Roman" w:hAnsi="Times New Roman" w:eastAsia="方正仿宋简体" w:cs="Times New Roman"/>
          <w:b w:val="0"/>
          <w:bCs/>
          <w:color w:val="000000"/>
          <w:sz w:val="32"/>
          <w:szCs w:val="32"/>
          <w:lang w:eastAsia="zh-CN"/>
        </w:rPr>
        <w:t>、街道办事处，开发区</w:t>
      </w:r>
      <w:r>
        <w:rPr>
          <w:rFonts w:hint="default" w:ascii="Times New Roman" w:hAnsi="Times New Roman" w:eastAsia="方正仿宋简体" w:cs="Times New Roman"/>
          <w:b w:val="0"/>
          <w:bCs/>
          <w:color w:val="000000"/>
          <w:sz w:val="32"/>
          <w:szCs w:val="32"/>
        </w:rPr>
        <w:t>管委会</w:t>
      </w:r>
      <w:r>
        <w:rPr>
          <w:rFonts w:hint="default" w:ascii="Times New Roman" w:hAnsi="Times New Roman" w:eastAsia="方正仿宋简体" w:cs="Times New Roman"/>
          <w:b w:val="0"/>
          <w:bCs/>
          <w:color w:val="000000"/>
          <w:sz w:val="32"/>
          <w:szCs w:val="32"/>
          <w:lang w:eastAsia="zh-CN"/>
        </w:rPr>
        <w:t>，县直</w:t>
      </w:r>
      <w:r>
        <w:rPr>
          <w:rFonts w:hint="default" w:ascii="Times New Roman" w:hAnsi="Times New Roman" w:eastAsia="方正仿宋简体" w:cs="Times New Roman"/>
          <w:b w:val="0"/>
          <w:bCs/>
          <w:color w:val="000000"/>
          <w:sz w:val="32"/>
          <w:szCs w:val="32"/>
        </w:rPr>
        <w:t>各部门，</w:t>
      </w:r>
      <w:r>
        <w:rPr>
          <w:rFonts w:hint="default" w:ascii="Times New Roman" w:hAnsi="Times New Roman" w:eastAsia="方正仿宋简体" w:cs="Times New Roman"/>
          <w:b w:val="0"/>
          <w:bCs/>
          <w:color w:val="000000"/>
          <w:sz w:val="32"/>
          <w:szCs w:val="32"/>
          <w:lang w:eastAsia="zh-CN"/>
        </w:rPr>
        <w:t>驻梁</w:t>
      </w:r>
      <w:r>
        <w:rPr>
          <w:rFonts w:hint="default" w:ascii="Times New Roman" w:hAnsi="Times New Roman" w:eastAsia="方正仿宋简体" w:cs="Times New Roman"/>
          <w:b w:val="0"/>
          <w:bCs/>
          <w:color w:val="000000"/>
          <w:sz w:val="32"/>
          <w:szCs w:val="32"/>
        </w:rPr>
        <w:t>各</w:t>
      </w:r>
      <w:r>
        <w:rPr>
          <w:rFonts w:hint="default" w:ascii="Times New Roman" w:hAnsi="Times New Roman" w:eastAsia="方正仿宋简体" w:cs="Times New Roman"/>
          <w:b w:val="0"/>
          <w:bCs/>
          <w:color w:val="000000"/>
          <w:sz w:val="32"/>
          <w:szCs w:val="32"/>
          <w:lang w:eastAsia="zh-CN"/>
        </w:rPr>
        <w:t>单位</w:t>
      </w:r>
      <w:r>
        <w:rPr>
          <w:rFonts w:hint="default" w:ascii="Times New Roman" w:hAnsi="Times New Roman" w:eastAsia="方正仿宋简体" w:cs="Times New Roman"/>
          <w:b w:val="0"/>
          <w:bCs/>
          <w:color w:val="000000"/>
          <w:sz w:val="32"/>
          <w:szCs w:val="32"/>
        </w:rPr>
        <w:t>，各</w:t>
      </w:r>
      <w:r>
        <w:rPr>
          <w:rFonts w:hint="default" w:ascii="Times New Roman" w:hAnsi="Times New Roman" w:eastAsia="方正仿宋简体" w:cs="Times New Roman"/>
          <w:b w:val="0"/>
          <w:bCs/>
          <w:color w:val="000000"/>
          <w:sz w:val="32"/>
          <w:szCs w:val="32"/>
          <w:lang w:eastAsia="zh-CN"/>
        </w:rPr>
        <w:t>企事业单位</w:t>
      </w:r>
      <w:r>
        <w:rPr>
          <w:rFonts w:hint="default" w:ascii="Times New Roman" w:hAnsi="Times New Roman" w:eastAsia="方正仿宋简体" w:cs="Times New Roman"/>
          <w:b w:val="0"/>
          <w:bCs/>
          <w:color w:val="000000"/>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现将《</w:t>
      </w:r>
      <w:r>
        <w:rPr>
          <w:rFonts w:hint="default" w:ascii="Times New Roman" w:hAnsi="Times New Roman" w:eastAsia="方正仿宋简体" w:cs="Times New Roman"/>
          <w:b w:val="0"/>
          <w:bCs/>
          <w:color w:val="000000"/>
          <w:sz w:val="32"/>
          <w:szCs w:val="32"/>
          <w:lang w:eastAsia="zh-CN"/>
        </w:rPr>
        <w:t>梁山县</w:t>
      </w:r>
      <w:r>
        <w:rPr>
          <w:rFonts w:hint="default" w:ascii="Times New Roman" w:hAnsi="Times New Roman" w:eastAsia="方正仿宋简体" w:cs="Times New Roman"/>
          <w:b w:val="0"/>
          <w:bCs/>
          <w:color w:val="000000"/>
          <w:sz w:val="32"/>
          <w:szCs w:val="32"/>
        </w:rPr>
        <w:t>城市基础设施配套费征收使用管理办法》印发给你们，请认真贯彻实施。</w:t>
      </w:r>
    </w:p>
    <w:bookmarkEnd w:id="2"/>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rPr>
        <w:t xml:space="preserve"> </w:t>
      </w:r>
      <w:r>
        <w:rPr>
          <w:rFonts w:hint="eastAsia"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lang w:val="en-US" w:eastAsia="zh-CN"/>
        </w:rPr>
        <w:t xml:space="preserve">  </w:t>
      </w:r>
      <w:r>
        <w:rPr>
          <w:rFonts w:hint="eastAsia"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lang w:eastAsia="zh-CN"/>
        </w:rPr>
        <w:t>梁山县</w:t>
      </w:r>
      <w:r>
        <w:rPr>
          <w:rFonts w:hint="default" w:ascii="Times New Roman" w:hAnsi="Times New Roman" w:eastAsia="方正仿宋简体" w:cs="Times New Roman"/>
          <w:b w:val="0"/>
          <w:bCs/>
          <w:color w:val="000000"/>
          <w:sz w:val="32"/>
          <w:szCs w:val="32"/>
        </w:rPr>
        <w:t>人民政府</w:t>
      </w:r>
      <w:r>
        <w:rPr>
          <w:rFonts w:hint="eastAsia"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lang w:val="en-US" w:eastAsia="zh-CN"/>
        </w:rPr>
        <w:t xml:space="preserve">                               </w:t>
      </w:r>
      <w:r>
        <w:rPr>
          <w:rFonts w:hint="eastAsia"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rPr>
        <w:t>20</w:t>
      </w:r>
      <w:r>
        <w:rPr>
          <w:rFonts w:hint="eastAsia" w:ascii="Times New Roman" w:hAnsi="Times New Roman" w:eastAsia="方正仿宋简体" w:cs="Times New Roman"/>
          <w:b w:val="0"/>
          <w:bCs/>
          <w:color w:val="000000"/>
          <w:sz w:val="32"/>
          <w:szCs w:val="32"/>
          <w:lang w:val="en-US" w:eastAsia="zh-CN"/>
        </w:rPr>
        <w:t>22</w:t>
      </w:r>
      <w:r>
        <w:rPr>
          <w:rFonts w:hint="default" w:ascii="Times New Roman" w:hAnsi="Times New Roman" w:eastAsia="方正仿宋简体" w:cs="Times New Roman"/>
          <w:b w:val="0"/>
          <w:bCs/>
          <w:color w:val="000000"/>
          <w:sz w:val="32"/>
          <w:szCs w:val="32"/>
        </w:rPr>
        <w:t>年</w:t>
      </w:r>
      <w:r>
        <w:rPr>
          <w:rFonts w:hint="eastAsia" w:ascii="Times New Roman" w:hAnsi="Times New Roman" w:eastAsia="方正仿宋简体" w:cs="Times New Roman"/>
          <w:b w:val="0"/>
          <w:bCs/>
          <w:color w:val="000000"/>
          <w:sz w:val="32"/>
          <w:szCs w:val="32"/>
          <w:lang w:val="en-US" w:eastAsia="zh-CN"/>
        </w:rPr>
        <w:t>1</w:t>
      </w:r>
      <w:r>
        <w:rPr>
          <w:rFonts w:hint="default" w:ascii="Times New Roman" w:hAnsi="Times New Roman" w:eastAsia="方正仿宋简体" w:cs="Times New Roman"/>
          <w:b w:val="0"/>
          <w:bCs/>
          <w:color w:val="000000"/>
          <w:sz w:val="32"/>
          <w:szCs w:val="32"/>
        </w:rPr>
        <w:t>月</w:t>
      </w:r>
      <w:r>
        <w:rPr>
          <w:rFonts w:hint="eastAsia" w:ascii="Times New Roman" w:hAnsi="Times New Roman" w:eastAsia="方正仿宋简体" w:cs="Times New Roman"/>
          <w:b w:val="0"/>
          <w:bCs/>
          <w:color w:val="000000"/>
          <w:sz w:val="32"/>
          <w:szCs w:val="32"/>
          <w:lang w:val="en-US" w:eastAsia="zh-CN"/>
        </w:rPr>
        <w:t>30</w:t>
      </w:r>
      <w:r>
        <w:rPr>
          <w:rFonts w:hint="default" w:ascii="Times New Roman" w:hAnsi="Times New Roman" w:eastAsia="方正仿宋简体" w:cs="Times New Roman"/>
          <w:b w:val="0"/>
          <w:bCs/>
          <w:color w:val="000000"/>
          <w:sz w:val="32"/>
          <w:szCs w:val="32"/>
        </w:rPr>
        <w:t xml:space="preserve">日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color w:val="000000"/>
          <w:sz w:val="32"/>
          <w:szCs w:val="32"/>
        </w:rPr>
      </w:pPr>
      <w:r>
        <w:rPr>
          <w:rFonts w:hint="eastAsia" w:ascii="Times New Roman" w:hAnsi="Times New Roman" w:eastAsia="方正仿宋简体" w:cs="Times New Roman"/>
          <w:b w:val="0"/>
          <w:bCs/>
          <w:color w:val="000000"/>
          <w:sz w:val="32"/>
          <w:szCs w:val="32"/>
          <w:lang w:eastAsia="zh-CN"/>
        </w:rPr>
        <w:t>（此件公开发布）</w:t>
      </w:r>
      <w:r>
        <w:rPr>
          <w:rFonts w:hint="default" w:ascii="Times New Roman" w:hAnsi="Times New Roman" w:eastAsia="方正仿宋简体" w:cs="Times New Roman"/>
          <w:b w:val="0"/>
          <w:bCs/>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梁山县</w:t>
      </w:r>
      <w:r>
        <w:rPr>
          <w:rFonts w:hint="eastAsia" w:ascii="方正小标宋简体" w:hAnsi="方正小标宋简体" w:eastAsia="方正小标宋简体" w:cs="方正小标宋简体"/>
          <w:b w:val="0"/>
          <w:bCs w:val="0"/>
          <w:sz w:val="44"/>
          <w:szCs w:val="44"/>
          <w:lang w:val="en-US" w:eastAsia="zh-CN"/>
        </w:rPr>
        <w:t>城市基础设施配套费征收</w:t>
      </w:r>
      <w:r>
        <w:rPr>
          <w:rFonts w:hint="eastAsia" w:ascii="方正小标宋简体" w:hAnsi="方正小标宋简体" w:eastAsia="方正小标宋简体" w:cs="方正小标宋简体"/>
          <w:b w:val="0"/>
          <w:bCs w:val="0"/>
          <w:sz w:val="44"/>
          <w:szCs w:val="44"/>
        </w:rPr>
        <w:t>使用</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管</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理</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办</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法</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方正仿宋简体" w:eastAsia="方正仿宋简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方正仿宋简体" w:cs="Times New Roman"/>
          <w:b w:val="0"/>
          <w:bCs w:val="0"/>
          <w:sz w:val="32"/>
          <w:szCs w:val="32"/>
        </w:rPr>
        <w:t xml:space="preserve">  为了加强和规范城市基础设施配套费征收使用管理，促进城市基础设施建设，根据《济宁市主城区城市基础设施配套费征收使用管理办法》</w:t>
      </w:r>
      <w:r>
        <w:rPr>
          <w:rFonts w:hint="default" w:ascii="Times New Roman" w:hAnsi="Times New Roman" w:eastAsia="方正仿宋简体" w:cs="Times New Roman"/>
          <w:b w:val="0"/>
          <w:bCs w:val="0"/>
          <w:sz w:val="32"/>
          <w:szCs w:val="32"/>
          <w:lang w:eastAsia="zh-CN"/>
        </w:rPr>
        <w:t>及有关</w:t>
      </w:r>
      <w:r>
        <w:rPr>
          <w:rFonts w:hint="default" w:ascii="Times New Roman" w:hAnsi="Times New Roman" w:eastAsia="方正仿宋简体" w:cs="Times New Roman"/>
          <w:b w:val="0"/>
          <w:bCs w:val="0"/>
          <w:sz w:val="32"/>
          <w:szCs w:val="32"/>
        </w:rPr>
        <w:t>法律、法规、规章规定，结合我</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实际，制定本办法。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黑体" w:cs="Times New Roman"/>
          <w:b w:val="0"/>
          <w:bCs w:val="0"/>
          <w:sz w:val="32"/>
          <w:szCs w:val="32"/>
        </w:rPr>
        <w:t>第二条</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sz w:val="32"/>
          <w:szCs w:val="32"/>
        </w:rPr>
        <w:t>本办法</w:t>
      </w:r>
      <w:r>
        <w:rPr>
          <w:rFonts w:hint="default" w:ascii="Times New Roman" w:hAnsi="Times New Roman" w:eastAsia="方正仿宋简体" w:cs="Times New Roman"/>
          <w:b w:val="0"/>
          <w:bCs w:val="0"/>
          <w:sz w:val="32"/>
          <w:szCs w:val="32"/>
          <w:lang w:eastAsia="zh-CN"/>
        </w:rPr>
        <w:t>适用范围为梁山县中心城区，</w:t>
      </w:r>
      <w:r>
        <w:rPr>
          <w:rFonts w:hint="default" w:ascii="Times New Roman" w:hAnsi="Times New Roman" w:eastAsia="方正仿宋简体" w:cs="Times New Roman"/>
          <w:b w:val="0"/>
          <w:bCs w:val="0"/>
          <w:sz w:val="32"/>
          <w:szCs w:val="32"/>
        </w:rPr>
        <w:t>东抵梁济运河，南至流畅</w:t>
      </w:r>
      <w:r>
        <w:rPr>
          <w:rFonts w:hint="default" w:ascii="Times New Roman" w:hAnsi="Times New Roman" w:eastAsia="方正仿宋简体" w:cs="Times New Roman"/>
          <w:b w:val="0"/>
          <w:bCs w:val="0"/>
          <w:sz w:val="32"/>
          <w:szCs w:val="32"/>
          <w:lang w:eastAsia="zh-CN"/>
        </w:rPr>
        <w:t>河</w:t>
      </w:r>
      <w:r>
        <w:rPr>
          <w:rFonts w:hint="default" w:ascii="Times New Roman" w:hAnsi="Times New Roman" w:eastAsia="方正仿宋简体" w:cs="Times New Roman"/>
          <w:b w:val="0"/>
          <w:bCs w:val="0"/>
          <w:sz w:val="32"/>
          <w:szCs w:val="32"/>
        </w:rPr>
        <w:t>，西到西环路，北达北环路</w:t>
      </w:r>
      <w:r>
        <w:rPr>
          <w:rFonts w:hint="default" w:ascii="Times New Roman" w:hAnsi="Times New Roman" w:eastAsia="方正仿宋简体"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sz w:val="32"/>
          <w:szCs w:val="32"/>
        </w:rPr>
        <w:t>本办法所称城市基础设施配套费，是指用于</w:t>
      </w:r>
      <w:r>
        <w:rPr>
          <w:rFonts w:hint="default" w:ascii="Times New Roman" w:hAnsi="Times New Roman" w:eastAsia="方正仿宋简体" w:cs="Times New Roman"/>
          <w:b w:val="0"/>
          <w:bCs w:val="0"/>
          <w:sz w:val="32"/>
          <w:szCs w:val="32"/>
          <w:lang w:eastAsia="zh-CN"/>
        </w:rPr>
        <w:t>梁山县中心城区</w:t>
      </w:r>
      <w:r>
        <w:rPr>
          <w:rFonts w:hint="default" w:ascii="Times New Roman" w:hAnsi="Times New Roman" w:eastAsia="方正仿宋简体" w:cs="Times New Roman"/>
          <w:b w:val="0"/>
          <w:bCs w:val="0"/>
          <w:sz w:val="32"/>
          <w:szCs w:val="32"/>
        </w:rPr>
        <w:t>城市基础设施建设的专项资金，包括综合配套费和专项配套费。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综合配套费，是指由</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政府统筹使用，主要用于</w:t>
      </w:r>
      <w:r>
        <w:rPr>
          <w:rFonts w:hint="default" w:ascii="Times New Roman" w:hAnsi="Times New Roman" w:eastAsia="方正仿宋简体" w:cs="Times New Roman"/>
          <w:b w:val="0"/>
          <w:bCs w:val="0"/>
          <w:sz w:val="32"/>
          <w:szCs w:val="32"/>
          <w:lang w:eastAsia="zh-CN"/>
        </w:rPr>
        <w:t>梁山县中心城区</w:t>
      </w:r>
      <w:r>
        <w:rPr>
          <w:rFonts w:hint="default" w:ascii="Times New Roman" w:hAnsi="Times New Roman" w:eastAsia="方正仿宋简体" w:cs="Times New Roman"/>
          <w:b w:val="0"/>
          <w:bCs w:val="0"/>
          <w:sz w:val="32"/>
          <w:szCs w:val="32"/>
        </w:rPr>
        <w:t>城市道路、桥梁等市政公用基础设施建设的专项资金。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专项配套费，是指由城市供水、供气、供热、供电单位（以下统称专业经营单位）使用，用于建设项目规划红线外（建设项目规划边界线）供水、供气、供热、供电设施设备建设的专项资金。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方正仿宋简体" w:cs="Times New Roman"/>
          <w:b w:val="0"/>
          <w:bCs w:val="0"/>
          <w:sz w:val="32"/>
          <w:szCs w:val="32"/>
        </w:rPr>
        <w:t xml:space="preserve">  凡在</w:t>
      </w:r>
      <w:r>
        <w:rPr>
          <w:rFonts w:hint="default" w:ascii="Times New Roman" w:hAnsi="Times New Roman" w:eastAsia="方正仿宋简体" w:cs="Times New Roman"/>
          <w:b w:val="0"/>
          <w:bCs w:val="0"/>
          <w:sz w:val="32"/>
          <w:szCs w:val="32"/>
          <w:lang w:eastAsia="zh-CN"/>
        </w:rPr>
        <w:t>梁山县中心城区</w:t>
      </w:r>
      <w:r>
        <w:rPr>
          <w:rFonts w:hint="default" w:ascii="Times New Roman" w:hAnsi="Times New Roman" w:eastAsia="方正仿宋简体" w:cs="Times New Roman"/>
          <w:b w:val="0"/>
          <w:bCs w:val="0"/>
          <w:sz w:val="32"/>
          <w:szCs w:val="32"/>
        </w:rPr>
        <w:t>新建、扩建、改建建设项目的单位和个人（以下统称建设单位和个人），均应当按照本办法缴纳城市基础设施配套费。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第五条</w:t>
      </w:r>
      <w:r>
        <w:rPr>
          <w:rFonts w:hint="default" w:ascii="Times New Roman" w:hAnsi="Times New Roman" w:eastAsia="方正黑体简体" w:cs="Times New Roman"/>
          <w:b w:val="0"/>
          <w:bCs w:val="0"/>
          <w:sz w:val="32"/>
          <w:szCs w:val="32"/>
        </w:rPr>
        <w:t xml:space="preserve"> </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财政局负责</w:t>
      </w:r>
      <w:r>
        <w:rPr>
          <w:rFonts w:hint="default" w:ascii="Times New Roman" w:hAnsi="Times New Roman" w:eastAsia="方正仿宋简体" w:cs="Times New Roman"/>
          <w:b w:val="0"/>
          <w:bCs w:val="0"/>
          <w:sz w:val="32"/>
          <w:szCs w:val="32"/>
          <w:lang w:eastAsia="zh-CN"/>
        </w:rPr>
        <w:t>梁山县中心城区</w:t>
      </w:r>
      <w:r>
        <w:rPr>
          <w:rFonts w:hint="default" w:ascii="Times New Roman" w:hAnsi="Times New Roman" w:eastAsia="方正仿宋简体" w:cs="Times New Roman"/>
          <w:b w:val="0"/>
          <w:bCs w:val="0"/>
          <w:sz w:val="32"/>
          <w:szCs w:val="32"/>
        </w:rPr>
        <w:t>城市基础设施配套费管理工作。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住房</w:t>
      </w:r>
      <w:r>
        <w:rPr>
          <w:rFonts w:hint="default" w:ascii="Times New Roman" w:hAnsi="Times New Roman" w:eastAsia="方正仿宋简体" w:cs="Times New Roman"/>
          <w:b w:val="0"/>
          <w:bCs w:val="0"/>
          <w:sz w:val="32"/>
          <w:szCs w:val="32"/>
          <w:lang w:eastAsia="zh-CN"/>
        </w:rPr>
        <w:t>和</w:t>
      </w:r>
      <w:r>
        <w:rPr>
          <w:rFonts w:hint="default" w:ascii="Times New Roman" w:hAnsi="Times New Roman" w:eastAsia="方正仿宋简体" w:cs="Times New Roman"/>
          <w:b w:val="0"/>
          <w:bCs w:val="0"/>
          <w:sz w:val="32"/>
          <w:szCs w:val="32"/>
        </w:rPr>
        <w:t>城乡建设局负责</w:t>
      </w:r>
      <w:r>
        <w:rPr>
          <w:rFonts w:hint="default" w:ascii="Times New Roman" w:hAnsi="Times New Roman" w:eastAsia="方正仿宋简体" w:cs="Times New Roman"/>
          <w:b w:val="0"/>
          <w:bCs w:val="0"/>
          <w:sz w:val="32"/>
          <w:szCs w:val="32"/>
          <w:lang w:eastAsia="zh-CN"/>
        </w:rPr>
        <w:t>梁山县中心城区</w:t>
      </w:r>
      <w:r>
        <w:rPr>
          <w:rFonts w:hint="default" w:ascii="Times New Roman" w:hAnsi="Times New Roman" w:eastAsia="方正仿宋简体" w:cs="Times New Roman"/>
          <w:b w:val="0"/>
          <w:bCs w:val="0"/>
          <w:sz w:val="32"/>
          <w:szCs w:val="32"/>
        </w:rPr>
        <w:t>城市基础设施配套费征收工作。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自然资源和规划、行政审批服务、审计等部门按照各自职责，做好城市基础设施配套费征收使用管理相关工作。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第六条</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sz w:val="32"/>
          <w:szCs w:val="32"/>
          <w:lang w:eastAsia="zh-CN"/>
        </w:rPr>
        <w:t>城市基础设施配套费征收以</w:t>
      </w:r>
      <w:r>
        <w:rPr>
          <w:rFonts w:hint="default" w:ascii="Times New Roman" w:hAnsi="Times New Roman" w:eastAsia="方正仿宋简体" w:cs="Times New Roman"/>
          <w:b w:val="0"/>
          <w:bCs w:val="0"/>
          <w:sz w:val="32"/>
          <w:szCs w:val="32"/>
          <w:lang w:val="en-US" w:eastAsia="zh-CN"/>
        </w:rPr>
        <w:t>县行政审批服务局出具的《建设工程规划许可证》批复的建筑面积为依据，</w:t>
      </w:r>
      <w:r>
        <w:rPr>
          <w:rFonts w:hint="default" w:ascii="Times New Roman" w:hAnsi="Times New Roman" w:eastAsia="方正仿宋简体" w:cs="Times New Roman"/>
          <w:b w:val="0"/>
          <w:bCs w:val="0"/>
          <w:sz w:val="32"/>
          <w:szCs w:val="32"/>
        </w:rPr>
        <w:t>城市基础设施配套费征收标准：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（一）居住、公共建筑等民用建设项目，城市基础设施配套费按照下列标准征收：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综合配套费按照建筑面积每平方米128元征收；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专项配套费按照建筑面积每平方米71元征收。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（二）工业企业建设项目，综合配套费按照下列标准征收：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生产经营性建设项目综合配套费，按照建筑面积每平方米73元征收；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非生产经营性建设项目综合配套费，按照建筑面积每平方米128元征收。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楷体简体" w:hAnsi="方正楷体简体" w:eastAsia="方正楷体简体" w:cs="方正楷体简体"/>
          <w:b w:val="0"/>
          <w:bCs w:val="0"/>
          <w:sz w:val="32"/>
          <w:szCs w:val="32"/>
        </w:rPr>
      </w:pPr>
      <w:r>
        <w:rPr>
          <w:rFonts w:hint="default" w:ascii="方正楷体简体" w:hAnsi="方正楷体简体" w:eastAsia="方正楷体简体" w:cs="方正楷体简体"/>
          <w:b w:val="0"/>
          <w:bCs w:val="0"/>
          <w:sz w:val="32"/>
          <w:szCs w:val="32"/>
        </w:rPr>
        <w:t>（三）服务业建设项目，综合配套费按照建筑面积每平方米128元征收。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第七条</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仿宋_GB2312" w:cs="Times New Roman"/>
          <w:b w:val="0"/>
          <w:bCs w:val="0"/>
          <w:sz w:val="32"/>
          <w:szCs w:val="32"/>
        </w:rPr>
        <w:t>建</w:t>
      </w:r>
      <w:r>
        <w:rPr>
          <w:rFonts w:hint="default" w:ascii="Times New Roman" w:hAnsi="Times New Roman" w:eastAsia="方正仿宋简体" w:cs="Times New Roman"/>
          <w:b w:val="0"/>
          <w:bCs w:val="0"/>
          <w:sz w:val="32"/>
          <w:szCs w:val="32"/>
        </w:rPr>
        <w:t>设单位和个人应当在领取建筑工程施工许可证时书面承诺城市基础设施配套费缴纳时间。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第八条</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住房</w:t>
      </w:r>
      <w:r>
        <w:rPr>
          <w:rFonts w:hint="default" w:ascii="Times New Roman" w:hAnsi="Times New Roman" w:eastAsia="方正仿宋简体" w:cs="Times New Roman"/>
          <w:b w:val="0"/>
          <w:bCs w:val="0"/>
          <w:sz w:val="32"/>
          <w:szCs w:val="32"/>
          <w:lang w:eastAsia="zh-CN"/>
        </w:rPr>
        <w:t>和</w:t>
      </w:r>
      <w:r>
        <w:rPr>
          <w:rFonts w:hint="default" w:ascii="Times New Roman" w:hAnsi="Times New Roman" w:eastAsia="方正仿宋简体" w:cs="Times New Roman"/>
          <w:b w:val="0"/>
          <w:bCs w:val="0"/>
          <w:sz w:val="32"/>
          <w:szCs w:val="32"/>
        </w:rPr>
        <w:t>城乡建设局征收城市基础设施配套费时，应当向缴款人开具财政部或省级财政部门统一印制（监制）的财政票据。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建设单位和个人应当通过山东省非税收入征收管理系统，将城市基础设施配套费缴入</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财政。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第九条</w:t>
      </w:r>
      <w:r>
        <w:rPr>
          <w:rFonts w:hint="default" w:ascii="Times New Roman" w:hAnsi="Times New Roman" w:eastAsia="方正仿宋简体" w:cs="Times New Roman"/>
          <w:b w:val="0"/>
          <w:bCs w:val="0"/>
          <w:sz w:val="32"/>
          <w:szCs w:val="32"/>
        </w:rPr>
        <w:t xml:space="preserve">  建设项目非商业用途的地下室、地上储藏室、架空层和附属设施等，不缴纳综合配套费。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建设项目不需要专业经营单位供水、供气、供热、供电的，不缴纳相应专项配套费。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第十条</w:t>
      </w:r>
      <w:r>
        <w:rPr>
          <w:rFonts w:hint="default" w:ascii="Times New Roman" w:hAnsi="Times New Roman" w:eastAsia="方正仿宋简体" w:cs="Times New Roman"/>
          <w:b w:val="0"/>
          <w:bCs w:val="0"/>
          <w:sz w:val="32"/>
          <w:szCs w:val="32"/>
        </w:rPr>
        <w:t xml:space="preserve">  超低能耗被动式建设项目、利用清洁能源方式采暖（包括地源热泵、水源热泵、电能、燃气炉和空气能等）的建设项目，不缴纳供热专项配套费。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第十一条</w:t>
      </w:r>
      <w:r>
        <w:rPr>
          <w:rFonts w:hint="default" w:ascii="Times New Roman" w:hAnsi="Times New Roman" w:eastAsia="方正仿宋简体" w:cs="Times New Roman"/>
          <w:b w:val="0"/>
          <w:bCs w:val="0"/>
          <w:sz w:val="32"/>
          <w:szCs w:val="32"/>
        </w:rPr>
        <w:t xml:space="preserve">  对于免缴综合配套费的建设项目，应当按照国家、省有关规定执行。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第十二条</w:t>
      </w:r>
      <w:r>
        <w:rPr>
          <w:rFonts w:hint="default" w:ascii="Times New Roman" w:hAnsi="Times New Roman" w:eastAsia="方正仿宋简体" w:cs="Times New Roman"/>
          <w:b w:val="0"/>
          <w:bCs w:val="0"/>
          <w:sz w:val="32"/>
          <w:szCs w:val="32"/>
        </w:rPr>
        <w:t xml:space="preserve">  已按照本办法规定享受城市基础设施配套费免缴政策的建设项目改变原批准用途的，必须按照本办法规定补缴城市基础设施配套费。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第十三条</w:t>
      </w:r>
      <w:r>
        <w:rPr>
          <w:rFonts w:hint="default" w:ascii="Times New Roman" w:hAnsi="Times New Roman" w:eastAsia="方正仿宋简体" w:cs="Times New Roman"/>
          <w:b w:val="0"/>
          <w:bCs w:val="0"/>
          <w:sz w:val="32"/>
          <w:szCs w:val="32"/>
        </w:rPr>
        <w:t xml:space="preserve">  建设项目增加建筑面积的，建设单位和个人必须按照本办法规定补缴增加建筑面积的城市基础设施配套费。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第十四条</w:t>
      </w:r>
      <w:r>
        <w:rPr>
          <w:rFonts w:hint="default" w:ascii="Times New Roman" w:hAnsi="Times New Roman" w:eastAsia="方正仿宋简体" w:cs="Times New Roman"/>
          <w:b w:val="0"/>
          <w:bCs w:val="0"/>
          <w:sz w:val="32"/>
          <w:szCs w:val="32"/>
        </w:rPr>
        <w:t xml:space="preserve">  城市基础设施配套费纳入</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财政预算，实行年度收支预算管理。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专项配套费按照专款专用的原则，全额用于建设项目红线外专项配套工程建设。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黑体" w:cs="Times New Roman"/>
          <w:b w:val="0"/>
          <w:bCs w:val="0"/>
          <w:sz w:val="32"/>
          <w:szCs w:val="32"/>
        </w:rPr>
        <w:t>第十五条</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住房</w:t>
      </w:r>
      <w:r>
        <w:rPr>
          <w:rFonts w:hint="default" w:ascii="Times New Roman" w:hAnsi="Times New Roman" w:eastAsia="方正仿宋简体" w:cs="Times New Roman"/>
          <w:b w:val="0"/>
          <w:bCs w:val="0"/>
          <w:sz w:val="32"/>
          <w:szCs w:val="32"/>
          <w:lang w:eastAsia="zh-CN"/>
        </w:rPr>
        <w:t>和</w:t>
      </w:r>
      <w:r>
        <w:rPr>
          <w:rFonts w:hint="default" w:ascii="Times New Roman" w:hAnsi="Times New Roman" w:eastAsia="方正仿宋简体" w:cs="Times New Roman"/>
          <w:b w:val="0"/>
          <w:bCs w:val="0"/>
          <w:sz w:val="32"/>
          <w:szCs w:val="32"/>
        </w:rPr>
        <w:t>城乡建设局应当在每年10月31日前，编制完成下一年度专项配套费使用计划，按照规定程序，</w:t>
      </w:r>
      <w:r>
        <w:rPr>
          <w:rFonts w:hint="default" w:ascii="Times New Roman" w:hAnsi="Times New Roman" w:eastAsia="方正仿宋简体" w:cs="Times New Roman"/>
          <w:b w:val="0"/>
          <w:bCs w:val="0"/>
          <w:sz w:val="32"/>
          <w:szCs w:val="32"/>
          <w:lang w:eastAsia="zh-CN"/>
        </w:rPr>
        <w:t>报县财政局纳入财政预算使用计划。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第十六条</w:t>
      </w:r>
      <w:r>
        <w:rPr>
          <w:rFonts w:hint="default" w:ascii="Times New Roman" w:hAnsi="Times New Roman" w:eastAsia="方正仿宋简体" w:cs="Times New Roman"/>
          <w:b w:val="0"/>
          <w:bCs w:val="0"/>
          <w:sz w:val="32"/>
          <w:szCs w:val="32"/>
        </w:rPr>
        <w:t xml:space="preserve">  建设项目缴纳城市基础设施配套费后，</w:t>
      </w:r>
      <w:r>
        <w:rPr>
          <w:rFonts w:hint="default" w:ascii="Times New Roman" w:hAnsi="Times New Roman" w:eastAsia="方正仿宋简体" w:cs="Times New Roman"/>
          <w:b w:val="0"/>
          <w:bCs w:val="0"/>
          <w:sz w:val="32"/>
          <w:szCs w:val="32"/>
          <w:lang w:eastAsia="zh-CN"/>
        </w:rPr>
        <w:t>县</w:t>
      </w:r>
      <w:r>
        <w:rPr>
          <w:rFonts w:hint="default" w:ascii="Times New Roman" w:hAnsi="Times New Roman" w:eastAsia="方正仿宋简体" w:cs="Times New Roman"/>
          <w:b w:val="0"/>
          <w:bCs w:val="0"/>
          <w:sz w:val="32"/>
          <w:szCs w:val="32"/>
        </w:rPr>
        <w:t>财政局应当按照下列规定向专业经营单位拨付专项配套费：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（一）自收到专项配套费使用申请之日起20个工作日内，拨付已征收专项配套费的70%；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（二）建设项目红线外供水、供气、供热、供电专项配套工程竣工验收合格，符合接入条件后，自收到专项配套费使用申请之日起20个工作日内拨付已征收专项配套费的30%。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第十七条</w:t>
      </w:r>
      <w:r>
        <w:rPr>
          <w:rFonts w:hint="default" w:ascii="Times New Roman" w:hAnsi="Times New Roman" w:eastAsia="方正仿宋简体" w:cs="Times New Roman"/>
          <w:b w:val="0"/>
          <w:bCs w:val="0"/>
          <w:sz w:val="32"/>
          <w:szCs w:val="32"/>
        </w:rPr>
        <w:t xml:space="preserve">  城市基础设施配套费征收、管理部门，专业经营单位应当建立联席会议制度，定期召开协调会议，研究解决城市基础设施配套费征收、使用、管理工作中的重大问题。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第十八条</w:t>
      </w:r>
      <w:r>
        <w:rPr>
          <w:rFonts w:hint="default" w:ascii="Times New Roman" w:hAnsi="Times New Roman" w:eastAsia="方正仿宋简体" w:cs="Times New Roman"/>
          <w:b w:val="0"/>
          <w:bCs w:val="0"/>
          <w:sz w:val="32"/>
          <w:szCs w:val="32"/>
        </w:rPr>
        <w:t xml:space="preserve">  自本办法施行之日起，</w:t>
      </w:r>
      <w:r>
        <w:rPr>
          <w:rFonts w:hint="default" w:ascii="Times New Roman" w:hAnsi="Times New Roman" w:eastAsia="方正仿宋简体" w:cs="Times New Roman"/>
          <w:b w:val="0"/>
          <w:bCs w:val="0"/>
          <w:sz w:val="32"/>
          <w:szCs w:val="32"/>
          <w:lang w:eastAsia="zh-CN"/>
        </w:rPr>
        <w:t>各</w:t>
      </w:r>
      <w:r>
        <w:rPr>
          <w:rFonts w:hint="default" w:ascii="Times New Roman" w:hAnsi="Times New Roman" w:eastAsia="方正仿宋简体" w:cs="Times New Roman"/>
          <w:b w:val="0"/>
          <w:bCs w:val="0"/>
          <w:sz w:val="32"/>
          <w:szCs w:val="32"/>
        </w:rPr>
        <w:t>专业经营单位不得向建设单位和个人另行收取红线外供水、供气、供热、供电及相关配套费用。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黑体" w:cs="Times New Roman"/>
          <w:b w:val="0"/>
          <w:bCs w:val="0"/>
          <w:sz w:val="32"/>
          <w:szCs w:val="32"/>
        </w:rPr>
        <w:t>第十九条</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sz w:val="32"/>
          <w:szCs w:val="32"/>
        </w:rPr>
        <w:t>本办法自202</w:t>
      </w: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月</w:t>
      </w:r>
      <w:r>
        <w:rPr>
          <w:rFonts w:hint="default" w:ascii="Times New Roman" w:hAnsi="Times New Roman" w:eastAsia="方正仿宋简体" w:cs="Times New Roman"/>
          <w:b w:val="0"/>
          <w:bCs w:val="0"/>
          <w:sz w:val="32"/>
          <w:szCs w:val="32"/>
          <w:lang w:val="en-US" w:eastAsia="zh-CN"/>
        </w:rPr>
        <w:t>30</w:t>
      </w:r>
      <w:r>
        <w:rPr>
          <w:rFonts w:hint="default" w:ascii="Times New Roman" w:hAnsi="Times New Roman" w:eastAsia="方正仿宋简体" w:cs="Times New Roman"/>
          <w:b w:val="0"/>
          <w:bCs w:val="0"/>
          <w:sz w:val="32"/>
          <w:szCs w:val="32"/>
        </w:rPr>
        <w:t>日起施行，有效期至</w:t>
      </w:r>
      <w:r>
        <w:rPr>
          <w:rFonts w:hint="default" w:ascii="Times New Roman" w:hAnsi="Times New Roman" w:eastAsia="方正仿宋简体" w:cs="Times New Roman"/>
          <w:b w:val="0"/>
          <w:bCs w:val="0"/>
          <w:sz w:val="32"/>
          <w:szCs w:val="32"/>
          <w:lang w:val="en-US" w:eastAsia="zh-CN"/>
        </w:rPr>
        <w:t>2025年1</w:t>
      </w:r>
      <w:r>
        <w:rPr>
          <w:rFonts w:hint="default" w:ascii="Times New Roman" w:hAnsi="Times New Roman" w:eastAsia="方正仿宋简体" w:cs="Times New Roman"/>
          <w:b w:val="0"/>
          <w:bCs w:val="0"/>
          <w:sz w:val="32"/>
          <w:szCs w:val="32"/>
        </w:rPr>
        <w:t>月</w:t>
      </w:r>
      <w:r>
        <w:rPr>
          <w:rFonts w:hint="default" w:ascii="Times New Roman" w:hAnsi="Times New Roman" w:eastAsia="方正仿宋简体" w:cs="Times New Roman"/>
          <w:b w:val="0"/>
          <w:bCs w:val="0"/>
          <w:sz w:val="32"/>
          <w:szCs w:val="32"/>
          <w:lang w:val="en-US" w:eastAsia="zh-CN"/>
        </w:rPr>
        <w:t>29</w:t>
      </w:r>
      <w:r>
        <w:rPr>
          <w:rFonts w:hint="default" w:ascii="Times New Roman" w:hAnsi="Times New Roman" w:eastAsia="方正仿宋简体" w:cs="Times New Roman"/>
          <w:b w:val="0"/>
          <w:bCs w:val="0"/>
          <w:sz w:val="32"/>
          <w:szCs w:val="32"/>
        </w:rPr>
        <w:t>日。</w:t>
      </w:r>
      <w:r>
        <w:rPr>
          <w:rFonts w:hint="default" w:ascii="Times New Roman" w:hAnsi="Times New Roman" w:eastAsia="方正仿宋简体" w:cs="Times New Roman"/>
          <w:b w:val="0"/>
          <w:bCs w:val="0"/>
          <w:sz w:val="32"/>
          <w:szCs w:val="32"/>
          <w:lang w:eastAsia="zh-CN"/>
        </w:rPr>
        <w:t>梁山县人民政府</w:t>
      </w:r>
      <w:r>
        <w:rPr>
          <w:rFonts w:hint="default" w:ascii="Times New Roman" w:hAnsi="Times New Roman" w:eastAsia="方正仿宋简体" w:cs="Times New Roman"/>
          <w:b w:val="0"/>
          <w:bCs w:val="0"/>
          <w:sz w:val="32"/>
          <w:szCs w:val="32"/>
          <w:lang w:val="en-US" w:eastAsia="zh-CN"/>
        </w:rPr>
        <w:t>2019年10月31日印发的</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eastAsia="zh-CN"/>
        </w:rPr>
        <w:t>梁山县</w:t>
      </w:r>
      <w:r>
        <w:rPr>
          <w:rFonts w:hint="default" w:ascii="Times New Roman" w:hAnsi="Times New Roman" w:eastAsia="方正仿宋简体" w:cs="Times New Roman"/>
          <w:b w:val="0"/>
          <w:bCs w:val="0"/>
          <w:sz w:val="32"/>
          <w:szCs w:val="32"/>
        </w:rPr>
        <w:t>城市基础设施配套费征收使用管理暂行办法》（</w:t>
      </w:r>
      <w:r>
        <w:rPr>
          <w:rFonts w:hint="default" w:ascii="Times New Roman" w:hAnsi="Times New Roman" w:eastAsia="方正仿宋简体" w:cs="Times New Roman"/>
          <w:b w:val="0"/>
          <w:bCs w:val="0"/>
          <w:sz w:val="32"/>
          <w:szCs w:val="32"/>
          <w:lang w:eastAsia="zh-CN"/>
        </w:rPr>
        <w:t>梁</w:t>
      </w:r>
      <w:r>
        <w:rPr>
          <w:rFonts w:hint="default" w:ascii="Times New Roman" w:hAnsi="Times New Roman" w:eastAsia="方正仿宋简体" w:cs="Times New Roman"/>
          <w:b w:val="0"/>
          <w:bCs w:val="0"/>
          <w:sz w:val="32"/>
          <w:szCs w:val="32"/>
        </w:rPr>
        <w:t>政发〔2019〕12号）同时废止。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本办法施行前，已按照《</w:t>
      </w:r>
      <w:r>
        <w:rPr>
          <w:rFonts w:hint="default" w:ascii="Times New Roman" w:hAnsi="Times New Roman" w:eastAsia="方正仿宋简体" w:cs="Times New Roman"/>
          <w:b w:val="0"/>
          <w:bCs w:val="0"/>
          <w:sz w:val="32"/>
          <w:szCs w:val="32"/>
          <w:lang w:eastAsia="zh-CN"/>
        </w:rPr>
        <w:t>梁山县</w:t>
      </w:r>
      <w:r>
        <w:rPr>
          <w:rFonts w:hint="default" w:ascii="Times New Roman" w:hAnsi="Times New Roman" w:eastAsia="方正仿宋简体" w:cs="Times New Roman"/>
          <w:b w:val="0"/>
          <w:bCs w:val="0"/>
          <w:sz w:val="32"/>
          <w:szCs w:val="32"/>
        </w:rPr>
        <w:t>城市基础设施配套费征收使用管理办法》（</w:t>
      </w:r>
      <w:r>
        <w:rPr>
          <w:rFonts w:hint="default" w:ascii="Times New Roman" w:hAnsi="Times New Roman" w:eastAsia="方正仿宋简体" w:cs="Times New Roman"/>
          <w:b w:val="0"/>
          <w:bCs w:val="0"/>
          <w:sz w:val="32"/>
          <w:szCs w:val="32"/>
          <w:lang w:eastAsia="zh-CN"/>
        </w:rPr>
        <w:t>梁</w:t>
      </w:r>
      <w:r>
        <w:rPr>
          <w:rFonts w:hint="default" w:ascii="Times New Roman" w:hAnsi="Times New Roman" w:eastAsia="方正仿宋简体" w:cs="Times New Roman"/>
          <w:b w:val="0"/>
          <w:bCs w:val="0"/>
          <w:sz w:val="32"/>
          <w:szCs w:val="32"/>
        </w:rPr>
        <w:t>政发〔201</w:t>
      </w:r>
      <w:r>
        <w:rPr>
          <w:rFonts w:hint="default"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eastAsia="zh-CN"/>
        </w:rPr>
        <w:t>梁山县</w:t>
      </w:r>
      <w:r>
        <w:rPr>
          <w:rFonts w:hint="default" w:ascii="Times New Roman" w:hAnsi="Times New Roman" w:eastAsia="方正仿宋简体" w:cs="Times New Roman"/>
          <w:b w:val="0"/>
          <w:bCs w:val="0"/>
          <w:sz w:val="32"/>
          <w:szCs w:val="32"/>
        </w:rPr>
        <w:t>城市基础设施配套费征收使用管理暂行办法》（</w:t>
      </w:r>
      <w:r>
        <w:rPr>
          <w:rFonts w:hint="default" w:ascii="Times New Roman" w:hAnsi="Times New Roman" w:eastAsia="方正仿宋简体" w:cs="Times New Roman"/>
          <w:b w:val="0"/>
          <w:bCs w:val="0"/>
          <w:sz w:val="32"/>
          <w:szCs w:val="32"/>
          <w:lang w:eastAsia="zh-CN"/>
        </w:rPr>
        <w:t>梁</w:t>
      </w:r>
      <w:r>
        <w:rPr>
          <w:rFonts w:hint="default" w:ascii="Times New Roman" w:hAnsi="Times New Roman" w:eastAsia="方正仿宋简体" w:cs="Times New Roman"/>
          <w:b w:val="0"/>
          <w:bCs w:val="0"/>
          <w:sz w:val="32"/>
          <w:szCs w:val="32"/>
        </w:rPr>
        <w:t>政发〔2019〕12号）规定缴纳城市基础设施配套费</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但尚未完成资金拨付的，仍按照</w:t>
      </w:r>
      <w:r>
        <w:rPr>
          <w:rFonts w:hint="default" w:ascii="Times New Roman" w:hAnsi="Times New Roman" w:eastAsia="方正仿宋简体" w:cs="Times New Roman"/>
          <w:b w:val="0"/>
          <w:bCs w:val="0"/>
          <w:sz w:val="32"/>
          <w:szCs w:val="32"/>
          <w:lang w:eastAsia="zh-CN"/>
        </w:rPr>
        <w:t>梁</w:t>
      </w:r>
      <w:r>
        <w:rPr>
          <w:rFonts w:hint="default" w:ascii="Times New Roman" w:hAnsi="Times New Roman" w:eastAsia="方正仿宋简体" w:cs="Times New Roman"/>
          <w:b w:val="0"/>
          <w:bCs w:val="0"/>
          <w:sz w:val="32"/>
          <w:szCs w:val="32"/>
        </w:rPr>
        <w:t>政发〔201</w:t>
      </w:r>
      <w:r>
        <w:rPr>
          <w:rFonts w:hint="default"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、梁</w:t>
      </w:r>
      <w:r>
        <w:rPr>
          <w:rFonts w:hint="default" w:ascii="Times New Roman" w:hAnsi="Times New Roman" w:eastAsia="方正仿宋简体" w:cs="Times New Roman"/>
          <w:b w:val="0"/>
          <w:bCs w:val="0"/>
          <w:sz w:val="32"/>
          <w:szCs w:val="32"/>
        </w:rPr>
        <w:t>政发〔2019〕</w:t>
      </w:r>
      <w:r>
        <w:rPr>
          <w:rFonts w:hint="default"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、济</w:t>
      </w:r>
      <w:r>
        <w:rPr>
          <w:rFonts w:hint="default" w:ascii="Times New Roman" w:hAnsi="Times New Roman" w:eastAsia="方正仿宋简体" w:cs="Times New Roman"/>
          <w:b w:val="0"/>
          <w:bCs w:val="0"/>
          <w:sz w:val="32"/>
          <w:szCs w:val="32"/>
        </w:rPr>
        <w:t>政办发〔2018〕6号文件关于资金拨付的相关规定办理。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自本办法施行之日起，凡未缴纳城市基础设施配套费的建设项目，均应当按照本办法规定缴纳城市基础设施配套费。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附件：梁山县城市基础设施配套费征收标准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pPr>
        <w:adjustRightInd w:val="0"/>
        <w:snapToGrid w:val="0"/>
        <w:spacing w:line="600" w:lineRule="exact"/>
        <w:rPr>
          <w:rFonts w:hint="default" w:ascii="Times New Roman" w:hAnsi="Times New Roman" w:eastAsia="方正仿宋简体" w:cs="Times New Roman"/>
          <w:b w:val="0"/>
          <w:bCs w:val="0"/>
          <w:sz w:val="48"/>
          <w:szCs w:val="48"/>
          <w:lang w:val="en-US" w:eastAsia="zh-CN"/>
        </w:rPr>
      </w:pPr>
    </w:p>
    <w:p>
      <w:pPr>
        <w:adjustRightInd w:val="0"/>
        <w:snapToGrid w:val="0"/>
        <w:spacing w:line="600" w:lineRule="exact"/>
        <w:rPr>
          <w:rFonts w:hint="default" w:ascii="Times New Roman" w:hAnsi="Times New Roman" w:eastAsia="方正仿宋简体" w:cs="Times New Roman"/>
          <w:b w:val="0"/>
          <w:bCs w:val="0"/>
          <w:sz w:val="48"/>
          <w:szCs w:val="48"/>
          <w:lang w:val="en-US" w:eastAsia="zh-CN"/>
        </w:rPr>
      </w:pPr>
    </w:p>
    <w:p>
      <w:pPr>
        <w:adjustRightInd w:val="0"/>
        <w:snapToGrid w:val="0"/>
        <w:spacing w:line="600" w:lineRule="exact"/>
        <w:rPr>
          <w:rFonts w:hint="default" w:ascii="Times New Roman" w:hAnsi="Times New Roman" w:eastAsia="方正仿宋简体" w:cs="Times New Roman"/>
          <w:b/>
          <w:bCs/>
          <w:sz w:val="48"/>
          <w:szCs w:val="48"/>
          <w:lang w:val="en-US" w:eastAsia="zh-CN"/>
        </w:rPr>
      </w:pPr>
    </w:p>
    <w:p>
      <w:pPr>
        <w:adjustRightInd w:val="0"/>
        <w:snapToGrid w:val="0"/>
        <w:spacing w:line="600" w:lineRule="exact"/>
        <w:rPr>
          <w:rFonts w:hint="default" w:ascii="Times New Roman" w:hAnsi="Times New Roman" w:eastAsia="方正仿宋简体" w:cs="Times New Roman"/>
          <w:b/>
          <w:bCs/>
          <w:sz w:val="48"/>
          <w:szCs w:val="48"/>
          <w:lang w:val="en-US" w:eastAsia="zh-CN"/>
        </w:rPr>
      </w:pPr>
    </w:p>
    <w:p>
      <w:pPr>
        <w:adjustRightInd w:val="0"/>
        <w:snapToGrid w:val="0"/>
        <w:spacing w:line="600" w:lineRule="exact"/>
        <w:rPr>
          <w:rFonts w:hint="default" w:ascii="Times New Roman" w:hAnsi="Times New Roman" w:eastAsia="方正仿宋简体" w:cs="Times New Roman"/>
          <w:b/>
          <w:bCs/>
          <w:sz w:val="48"/>
          <w:szCs w:val="48"/>
          <w:lang w:val="en-US" w:eastAsia="zh-CN"/>
        </w:rPr>
      </w:pPr>
    </w:p>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件</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梁山县</w:t>
      </w:r>
      <w:r>
        <w:rPr>
          <w:rFonts w:hint="eastAsia" w:ascii="方正小标宋简体" w:hAnsi="方正小标宋简体" w:eastAsia="方正小标宋简体" w:cs="方正小标宋简体"/>
          <w:b w:val="0"/>
          <w:bCs/>
          <w:sz w:val="44"/>
          <w:szCs w:val="44"/>
          <w:lang w:val="en-US" w:eastAsia="zh-CN"/>
        </w:rPr>
        <w:t>城市基础设施配套费征收标准</w:t>
      </w:r>
    </w:p>
    <w:p>
      <w:pPr>
        <w:keepNext w:val="0"/>
        <w:keepLines w:val="0"/>
        <w:pageBreakBefore w:val="0"/>
        <w:widowControl/>
        <w:kinsoku/>
        <w:wordWrap/>
        <w:overflowPunct/>
        <w:topLinePunct w:val="0"/>
        <w:autoSpaceDE/>
        <w:autoSpaceDN/>
        <w:bidi w:val="0"/>
        <w:adjustRightInd w:val="0"/>
        <w:snapToGrid w:val="0"/>
        <w:spacing w:line="560" w:lineRule="exact"/>
        <w:ind w:firstLine="440" w:firstLineChars="100"/>
        <w:jc w:val="center"/>
        <w:textAlignment w:val="auto"/>
        <w:rPr>
          <w:rFonts w:hint="eastAsia" w:ascii="方正小标宋简体" w:hAnsi="方正小标宋简体" w:eastAsia="方正小标宋简体" w:cs="方正小标宋简体"/>
          <w:b w:val="0"/>
          <w:bCs/>
          <w:sz w:val="44"/>
          <w:szCs w:val="44"/>
          <w:lang w:val="en-US" w:eastAsia="zh-CN"/>
        </w:rPr>
      </w:pPr>
    </w:p>
    <w:tbl>
      <w:tblPr>
        <w:tblStyle w:val="6"/>
        <w:tblpPr w:leftFromText="180" w:rightFromText="180" w:vertAnchor="page" w:horzAnchor="page" w:tblpX="1440" w:tblpY="3573"/>
        <w:tblW w:w="9180" w:type="dxa"/>
        <w:tblInd w:w="0" w:type="dxa"/>
        <w:tblLayout w:type="fixed"/>
        <w:tblCellMar>
          <w:top w:w="0" w:type="dxa"/>
          <w:left w:w="108" w:type="dxa"/>
          <w:bottom w:w="0" w:type="dxa"/>
          <w:right w:w="108" w:type="dxa"/>
        </w:tblCellMar>
      </w:tblPr>
      <w:tblGrid>
        <w:gridCol w:w="4219"/>
        <w:gridCol w:w="3260"/>
        <w:gridCol w:w="1701"/>
      </w:tblGrid>
      <w:tr>
        <w:tblPrEx>
          <w:tblCellMar>
            <w:top w:w="0" w:type="dxa"/>
            <w:left w:w="108" w:type="dxa"/>
            <w:bottom w:w="0" w:type="dxa"/>
            <w:right w:w="108" w:type="dxa"/>
          </w:tblCellMar>
        </w:tblPrEx>
        <w:trPr>
          <w:trHeight w:val="611" w:hRule="atLeast"/>
        </w:trPr>
        <w:tc>
          <w:tcPr>
            <w:tcW w:w="42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方正黑体简体" w:cs="Times New Roman"/>
                <w:b w:val="0"/>
                <w:bCs/>
                <w:kern w:val="0"/>
                <w:sz w:val="24"/>
                <w:szCs w:val="24"/>
              </w:rPr>
            </w:pPr>
            <w:r>
              <w:rPr>
                <w:rFonts w:hint="default" w:ascii="Times New Roman" w:hAnsi="Times New Roman" w:eastAsia="方正黑体简体" w:cs="Times New Roman"/>
                <w:b w:val="0"/>
                <w:bCs/>
                <w:kern w:val="0"/>
                <w:sz w:val="24"/>
                <w:szCs w:val="24"/>
              </w:rPr>
              <w:t>项  目</w:t>
            </w:r>
          </w:p>
        </w:tc>
        <w:tc>
          <w:tcPr>
            <w:tcW w:w="3260" w:type="dxa"/>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方正黑体简体" w:cs="Times New Roman"/>
                <w:b w:val="0"/>
                <w:bCs/>
                <w:kern w:val="0"/>
                <w:sz w:val="24"/>
                <w:szCs w:val="24"/>
              </w:rPr>
            </w:pPr>
            <w:r>
              <w:rPr>
                <w:rFonts w:hint="default" w:ascii="Times New Roman" w:hAnsi="Times New Roman" w:eastAsia="方正黑体简体" w:cs="Times New Roman"/>
                <w:b w:val="0"/>
                <w:bCs/>
                <w:kern w:val="0"/>
                <w:sz w:val="24"/>
                <w:szCs w:val="24"/>
              </w:rPr>
              <w:t>红线外征收标准（元/平方米）</w:t>
            </w: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方正黑体简体" w:cs="Times New Roman"/>
                <w:b w:val="0"/>
                <w:bCs/>
                <w:kern w:val="0"/>
                <w:sz w:val="24"/>
                <w:szCs w:val="24"/>
              </w:rPr>
            </w:pPr>
            <w:r>
              <w:rPr>
                <w:rFonts w:hint="default" w:ascii="Times New Roman" w:hAnsi="Times New Roman" w:eastAsia="方正黑体简体" w:cs="Times New Roman"/>
                <w:b w:val="0"/>
                <w:bCs/>
                <w:kern w:val="0"/>
                <w:sz w:val="24"/>
                <w:szCs w:val="24"/>
              </w:rPr>
              <w:t>备注</w:t>
            </w: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一、居住、公共建筑等民用项目</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199</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 xml:space="preserve">（一）综合配套费 </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128</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（二）专项配套费</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71</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 xml:space="preserve">      其中：1. 供水</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11</w:t>
            </w:r>
          </w:p>
        </w:tc>
        <w:tc>
          <w:tcPr>
            <w:tcW w:w="1701" w:type="dxa"/>
            <w:tcBorders>
              <w:top w:val="nil"/>
              <w:left w:val="nil"/>
              <w:bottom w:val="single" w:color="auto" w:sz="4" w:space="0"/>
              <w:right w:val="single" w:color="auto" w:sz="4" w:space="0"/>
            </w:tcBorders>
            <w:vAlign w:val="center"/>
          </w:tcPr>
          <w:p>
            <w:pPr>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highlight w:val="yellow"/>
              </w:rPr>
            </w:pPr>
            <w:r>
              <w:rPr>
                <w:rFonts w:hint="default" w:ascii="Times New Roman" w:hAnsi="Times New Roman" w:eastAsia="仿宋_GB2312" w:cs="Times New Roman"/>
                <w:b w:val="0"/>
                <w:bCs/>
                <w:kern w:val="0"/>
                <w:sz w:val="24"/>
                <w:szCs w:val="24"/>
              </w:rPr>
              <w:t xml:space="preserve">            2. 供气</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8</w:t>
            </w:r>
          </w:p>
        </w:tc>
        <w:tc>
          <w:tcPr>
            <w:tcW w:w="1701" w:type="dxa"/>
            <w:tcBorders>
              <w:top w:val="nil"/>
              <w:left w:val="nil"/>
              <w:bottom w:val="single" w:color="auto" w:sz="4" w:space="0"/>
              <w:right w:val="single" w:color="auto" w:sz="4" w:space="0"/>
            </w:tcBorders>
            <w:vAlign w:val="center"/>
          </w:tcPr>
          <w:p>
            <w:pPr>
              <w:adjustRightInd w:val="0"/>
              <w:snapToGrid w:val="0"/>
              <w:spacing w:line="600" w:lineRule="exac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 xml:space="preserve">            3. 供热</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38</w:t>
            </w:r>
          </w:p>
        </w:tc>
        <w:tc>
          <w:tcPr>
            <w:tcW w:w="1701" w:type="dxa"/>
            <w:tcBorders>
              <w:top w:val="nil"/>
              <w:left w:val="nil"/>
              <w:bottom w:val="single" w:color="auto" w:sz="4" w:space="0"/>
              <w:right w:val="single" w:color="auto" w:sz="4" w:space="0"/>
            </w:tcBorders>
            <w:vAlign w:val="center"/>
          </w:tcPr>
          <w:p>
            <w:pPr>
              <w:adjustRightInd w:val="0"/>
              <w:snapToGrid w:val="0"/>
              <w:spacing w:line="600" w:lineRule="exac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ind w:right="2" w:rightChars="1" w:firstLine="1440" w:firstLineChars="600"/>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4. 供电</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14</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ind w:right="2" w:rightChars="1"/>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含高层双电源</w:t>
            </w:r>
          </w:p>
        </w:tc>
      </w:tr>
      <w:tr>
        <w:tblPrEx>
          <w:tblCellMar>
            <w:top w:w="0" w:type="dxa"/>
            <w:left w:w="108" w:type="dxa"/>
            <w:bottom w:w="0" w:type="dxa"/>
            <w:right w:w="108" w:type="dxa"/>
          </w:tblCellMar>
        </w:tblPrEx>
        <w:trPr>
          <w:trHeight w:val="613" w:hRule="atLeast"/>
        </w:trPr>
        <w:tc>
          <w:tcPr>
            <w:tcW w:w="42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二、工业企业建设项目</w:t>
            </w:r>
          </w:p>
        </w:tc>
        <w:tc>
          <w:tcPr>
            <w:tcW w:w="3260" w:type="dxa"/>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ind w:firstLine="240" w:firstLineChars="100"/>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综合配套费</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 xml:space="preserve">  其中：1. 生产经营性综合配套费</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73</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 xml:space="preserve">        2. 非生产经营性综合配套费</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128</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三、服务业建设项目</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3" w:hRule="atLeast"/>
        </w:trPr>
        <w:tc>
          <w:tcPr>
            <w:tcW w:w="4219"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ind w:firstLine="240" w:firstLineChars="100"/>
              <w:jc w:val="left"/>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综合配套费</w:t>
            </w:r>
          </w:p>
        </w:tc>
        <w:tc>
          <w:tcPr>
            <w:tcW w:w="326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128</w:t>
            </w:r>
          </w:p>
        </w:tc>
        <w:tc>
          <w:tcPr>
            <w:tcW w:w="1701" w:type="dxa"/>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hint="default" w:ascii="Times New Roman" w:hAnsi="Times New Roman" w:eastAsia="仿宋_GB2312" w:cs="Times New Roman"/>
                <w:b w:val="0"/>
                <w:bCs/>
                <w:kern w:val="0"/>
                <w:sz w:val="24"/>
                <w:szCs w:val="24"/>
              </w:rPr>
            </w:pPr>
          </w:p>
        </w:tc>
      </w:tr>
    </w:tbl>
    <w:p>
      <w:pPr>
        <w:pStyle w:val="2"/>
        <w:rPr>
          <w:rFonts w:hint="default"/>
          <w:b w:val="0"/>
          <w:bCs/>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b w:val="0"/>
          <w:bCs/>
          <w:lang w:val="en-US" w:eastAsia="zh-CN"/>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rPr>
          <w:b w:val="0"/>
          <w:bCs/>
        </w:rPr>
      </w:pPr>
    </w:p>
    <w:p>
      <w:pPr>
        <w:pStyle w:val="9"/>
        <w:spacing w:line="600" w:lineRule="exact"/>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54418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36.55pt;z-index:251659264;mso-width-relative:page;mso-height-relative:page;" filled="f" stroked="t" coordsize="21600,21600" o:gfxdata="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3i9dIAAAAEAQAADwAAAAAAAAABACAAAAAiAAAAZHJzL2Rvd25yZXYueG1sUEsBAhQAFAAA&#10;AAgAh07iQPxRZ2P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kern w:val="2"/>
          <w:sz w:val="32"/>
          <w:szCs w:val="32"/>
        </w:rPr>
        <w:t>抄送：县委办公室，县人大常委会办公室，县政协办公室</w:t>
      </w:r>
      <w:r>
        <w:rPr>
          <w:rFonts w:hint="default" w:ascii="Times New Roman" w:hAnsi="Times New Roman" w:eastAsia="方正仿宋简体" w:cs="Times New Roman"/>
          <w:b w:val="0"/>
          <w:bCs w:val="0"/>
          <w:kern w:val="2"/>
          <w:sz w:val="32"/>
          <w:szCs w:val="32"/>
          <w:lang w:eastAsia="zh-CN"/>
        </w:rPr>
        <w:t>，</w:t>
      </w:r>
    </w:p>
    <w:p>
      <w:pPr>
        <w:pStyle w:val="9"/>
        <w:spacing w:line="600" w:lineRule="exact"/>
        <w:ind w:firstLine="1280" w:firstLineChars="400"/>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lang w:eastAsia="zh-CN"/>
        </w:rPr>
        <w:t>县监察委，</w:t>
      </w:r>
      <w:r>
        <w:rPr>
          <w:rFonts w:hint="default" w:ascii="Times New Roman" w:hAnsi="Times New Roman" w:eastAsia="方正仿宋简体" w:cs="Times New Roman"/>
          <w:b w:val="0"/>
          <w:bCs w:val="0"/>
          <w:kern w:val="2"/>
          <w:sz w:val="32"/>
          <w:szCs w:val="32"/>
        </w:rPr>
        <w:t>县法院，县检察院，县人武部。</w:t>
      </w:r>
    </w:p>
    <w:p>
      <w:pPr>
        <w:pStyle w:val="9"/>
        <w:spacing w:line="600" w:lineRule="exact"/>
        <w:ind w:firstLine="320" w:firstLineChars="100"/>
        <w:rPr>
          <w:rFonts w:hint="eastAsia" w:ascii="Times New Roman" w:hAnsi="Times New Roman" w:eastAsia="方正仿宋简体" w:cs="Times New Roman"/>
          <w:b w:val="0"/>
          <w:bCs w:val="0"/>
          <w:kern w:val="2"/>
          <w:sz w:val="32"/>
          <w:szCs w:val="32"/>
          <w:lang w:val="en-US" w:eastAsia="zh-CN"/>
        </w:rPr>
      </w:pPr>
      <w:r>
        <w:rPr>
          <w:rFonts w:hint="default" w:ascii="Times New Roman" w:hAnsi="Times New Roman" w:eastAsia="方正仿宋简体" w:cs="Times New Roman"/>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434340</wp:posOffset>
                </wp:positionV>
                <wp:extent cx="55441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2pt;height:0pt;width:436.55pt;z-index:251661312;mso-width-relative:page;mso-height-relative:page;" filled="f" stroked="t" coordsize="21600,21600" o:gfxdata="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JddQAAAAGAQAADwAAAAAAAAABACAAAAAiAAAAZHJzL2Rvd25yZXYueG1sUEsBAhQAFAAA&#10;AAgAh07iQAac4bDzAQAA5AMAAA4AAAAAAAAAAQAgAAAAIw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5441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36.55pt;z-index:251660288;mso-width-relative:page;mso-height-relative:page;" filled="f" stroked="t" coordsize="21600,21600" o:gfxdata="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X73jTAAAABAEAAA8AAAAAAAAAAQAgAAAAIgAAAGRycy9kb3ducmV2LnhtbFBLAQIUABQA&#10;AAAIAIdO4kA632y0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val="0"/>
          <w:bCs w:val="0"/>
          <w:kern w:val="2"/>
          <w:sz w:val="32"/>
          <w:szCs w:val="32"/>
        </w:rPr>
        <w:t xml:space="preserve">梁山县人民政府办公室  </w:t>
      </w:r>
      <w:r>
        <w:rPr>
          <w:rFonts w:hint="eastAsia" w:ascii="Times New Roman" w:hAnsi="Times New Roman" w:eastAsia="方正仿宋简体" w:cs="Times New Roman"/>
          <w:b w:val="0"/>
          <w:bCs w:val="0"/>
          <w:kern w:val="2"/>
          <w:sz w:val="32"/>
          <w:szCs w:val="32"/>
          <w:lang w:val="en-US" w:eastAsia="zh-CN"/>
        </w:rPr>
        <w:t xml:space="preserve"> </w:t>
      </w:r>
      <w:r>
        <w:rPr>
          <w:rFonts w:hint="default" w:ascii="Times New Roman" w:hAnsi="Times New Roman" w:eastAsia="方正仿宋简体" w:cs="Times New Roman"/>
          <w:b w:val="0"/>
          <w:bCs w:val="0"/>
          <w:kern w:val="2"/>
          <w:sz w:val="32"/>
          <w:szCs w:val="32"/>
        </w:rPr>
        <w:t xml:space="preserve">  </w:t>
      </w:r>
      <w:r>
        <w:rPr>
          <w:rFonts w:hint="eastAsia" w:cs="Times New Roman"/>
          <w:b w:val="0"/>
          <w:bCs w:val="0"/>
          <w:kern w:val="2"/>
          <w:sz w:val="32"/>
          <w:szCs w:val="32"/>
          <w:lang w:val="en-US" w:eastAsia="zh-CN"/>
        </w:rPr>
        <w:t xml:space="preserve"> </w:t>
      </w:r>
      <w:r>
        <w:rPr>
          <w:rFonts w:hint="default" w:ascii="Times New Roman" w:hAnsi="Times New Roman" w:eastAsia="方正仿宋简体" w:cs="Times New Roman"/>
          <w:b w:val="0"/>
          <w:bCs w:val="0"/>
          <w:kern w:val="2"/>
          <w:sz w:val="32"/>
          <w:szCs w:val="32"/>
        </w:rPr>
        <w:t xml:space="preserve"> </w:t>
      </w:r>
      <w:r>
        <w:rPr>
          <w:rFonts w:hint="default" w:ascii="Times New Roman" w:hAnsi="Times New Roman" w:eastAsia="方正仿宋简体" w:cs="Times New Roman"/>
          <w:b w:val="0"/>
          <w:bCs w:val="0"/>
          <w:kern w:val="2"/>
          <w:sz w:val="32"/>
          <w:szCs w:val="32"/>
          <w:lang w:val="en-US" w:eastAsia="zh-CN"/>
        </w:rPr>
        <w:t xml:space="preserve">    </w:t>
      </w:r>
      <w:r>
        <w:rPr>
          <w:rFonts w:hint="default" w:ascii="Times New Roman" w:hAnsi="Times New Roman" w:eastAsia="方正仿宋简体" w:cs="Times New Roman"/>
          <w:b w:val="0"/>
          <w:bCs w:val="0"/>
          <w:kern w:val="2"/>
          <w:sz w:val="32"/>
          <w:szCs w:val="32"/>
        </w:rPr>
        <w:t xml:space="preserve"> 20</w:t>
      </w:r>
      <w:r>
        <w:rPr>
          <w:rFonts w:hint="eastAsia" w:ascii="Times New Roman" w:hAnsi="Times New Roman" w:eastAsia="方正仿宋简体" w:cs="Times New Roman"/>
          <w:b w:val="0"/>
          <w:bCs w:val="0"/>
          <w:kern w:val="2"/>
          <w:sz w:val="32"/>
          <w:szCs w:val="32"/>
          <w:lang w:val="en-US" w:eastAsia="zh-CN"/>
        </w:rPr>
        <w:t>22</w:t>
      </w:r>
      <w:r>
        <w:rPr>
          <w:rFonts w:hint="default" w:ascii="Times New Roman" w:hAnsi="Times New Roman" w:eastAsia="方正仿宋简体" w:cs="Times New Roman"/>
          <w:b w:val="0"/>
          <w:bCs w:val="0"/>
          <w:kern w:val="2"/>
          <w:sz w:val="32"/>
          <w:szCs w:val="32"/>
        </w:rPr>
        <w:t>年</w:t>
      </w:r>
      <w:r>
        <w:rPr>
          <w:rFonts w:hint="eastAsia" w:ascii="Times New Roman" w:hAnsi="Times New Roman" w:eastAsia="方正仿宋简体" w:cs="Times New Roman"/>
          <w:b w:val="0"/>
          <w:bCs w:val="0"/>
          <w:kern w:val="2"/>
          <w:sz w:val="32"/>
          <w:szCs w:val="32"/>
          <w:lang w:val="en-US" w:eastAsia="zh-CN"/>
        </w:rPr>
        <w:t>1</w:t>
      </w:r>
      <w:r>
        <w:rPr>
          <w:rFonts w:hint="default" w:ascii="Times New Roman" w:hAnsi="Times New Roman" w:eastAsia="方正仿宋简体" w:cs="Times New Roman"/>
          <w:b w:val="0"/>
          <w:bCs w:val="0"/>
          <w:kern w:val="2"/>
          <w:sz w:val="32"/>
          <w:szCs w:val="32"/>
        </w:rPr>
        <w:t>月</w:t>
      </w:r>
      <w:r>
        <w:rPr>
          <w:rFonts w:hint="default" w:ascii="Times New Roman" w:hAnsi="Times New Roman" w:eastAsia="方正楷体简体" w:cs="Times New Roman"/>
          <w:b w:val="0"/>
          <w:bCs w:val="0"/>
          <w:kern w:val="2"/>
          <w:sz w:val="32"/>
          <w:szCs w:val="32"/>
          <w:lang w:val="en-US" w:eastAsia="zh-CN"/>
        </w:rPr>
        <w:t>30</w:t>
      </w:r>
      <w:r>
        <w:rPr>
          <w:rFonts w:hint="default" w:ascii="Times New Roman" w:hAnsi="Times New Roman" w:eastAsia="方正仿宋简体" w:cs="Times New Roman"/>
          <w:b w:val="0"/>
          <w:bCs w:val="0"/>
          <w:kern w:val="2"/>
          <w:sz w:val="32"/>
          <w:szCs w:val="32"/>
        </w:rPr>
        <w:t>日印发</w:t>
      </w:r>
    </w:p>
    <w:p>
      <w:pPr>
        <w:rPr>
          <w:b w:val="0"/>
          <w:bCs/>
        </w:rPr>
      </w:pPr>
    </w:p>
    <w:sectPr>
      <w:footerReference r:id="rId3" w:type="default"/>
      <w:pgSz w:w="11906" w:h="16838"/>
      <w:pgMar w:top="1928" w:right="1531" w:bottom="1474" w:left="1587" w:header="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  \* MERGEFORMAT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  \* MERGEFORMAT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ZjZkOTJjNDU1OTI0NTg2MDVlNTFhZDhjZjVkMzIifQ=="/>
  </w:docVars>
  <w:rsids>
    <w:rsidRoot w:val="48D63E5C"/>
    <w:rsid w:val="17F33261"/>
    <w:rsid w:val="48D63E5C"/>
    <w:rsid w:val="777FF7E7"/>
    <w:rsid w:val="DFAF5A1F"/>
    <w:rsid w:val="EF5BE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tabs>
        <w:tab w:val="left" w:pos="5940"/>
      </w:tabs>
      <w:spacing w:line="360" w:lineRule="auto"/>
      <w:ind w:firstLine="200" w:firstLineChars="200"/>
      <w:jc w:val="left"/>
    </w:pPr>
    <w:rPr>
      <w:rFonts w:ascii="Arial" w:hAnsi="Arial"/>
      <w:b/>
      <w:spacing w:val="6"/>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qFormat/>
    <w:uiPriority w:val="0"/>
  </w:style>
  <w:style w:type="paragraph" w:customStyle="1" w:styleId="9">
    <w:name w:val="0"/>
    <w:basedOn w:val="1"/>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2421</Words>
  <Characters>2523</Characters>
  <Lines>0</Lines>
  <Paragraphs>0</Paragraphs>
  <TotalTime>15</TotalTime>
  <ScaleCrop>false</ScaleCrop>
  <LinksUpToDate>false</LinksUpToDate>
  <CharactersWithSpaces>2695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2022-01-20T23:34:00Z</dcterms:created>
  <dc:creator>崇墨</dc:creator>
  <cp:lastModifiedBy>Administrator</cp:lastModifiedBy>
  <dcterms:modified xsi:type="dcterms:W3CDTF">2022-06-21T09:18:22Z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88C09C84927546ACB7301FF7007F31DC</vt:lpwstr>
  </property>
</Properties>
</file>