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90188">
      <w:pPr>
        <w:pStyle w:val="10"/>
        <w:jc w:val="both"/>
        <w:rPr>
          <w:rFonts w:ascii="Times New Roman" w:hAnsi="Times New Roman" w:eastAsia="楷体_GB2312"/>
          <w:bCs w:val="0"/>
          <w:color w:val="FF0000"/>
          <w:w w:val="80"/>
          <w:kern w:val="0"/>
          <w:sz w:val="140"/>
          <w:szCs w:val="140"/>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60"/>
      </w:tblGrid>
      <w:tr w14:paraId="4A10E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1" w:hRule="atLeast"/>
          <w:jc w:val="center"/>
        </w:trPr>
        <w:tc>
          <w:tcPr>
            <w:tcW w:w="8560" w:type="dxa"/>
          </w:tcPr>
          <w:p w14:paraId="2E3249C8">
            <w:pPr>
              <w:spacing w:line="1600" w:lineRule="exact"/>
              <w:jc w:val="distribute"/>
              <w:rPr>
                <w:rFonts w:ascii="方正小标宋简体" w:hAnsi="方正小标宋简体" w:eastAsia="方正小标宋简体" w:cs="方正小标宋简体"/>
                <w:b/>
                <w:color w:val="FF0000"/>
                <w:w w:val="37"/>
                <w:kern w:val="0"/>
                <w:sz w:val="152"/>
                <w:szCs w:val="152"/>
              </w:rPr>
            </w:pPr>
            <w:r>
              <w:rPr>
                <w:rFonts w:hint="eastAsia" w:ascii="方正小标宋简体" w:hAnsi="方正小标宋简体" w:eastAsia="方正小标宋简体" w:cs="方正小标宋简体"/>
                <w:b/>
                <w:color w:val="FF0000"/>
                <w:w w:val="37"/>
                <w:kern w:val="0"/>
                <w:sz w:val="144"/>
                <w:szCs w:val="144"/>
              </w:rPr>
              <w:t>济宁市生态环境局梁山县分局文件</w:t>
            </w:r>
          </w:p>
        </w:tc>
      </w:tr>
    </w:tbl>
    <w:p w14:paraId="6B7728A0">
      <w:pPr>
        <w:spacing w:line="510" w:lineRule="exact"/>
        <w:rPr>
          <w:b/>
          <w:color w:val="000000"/>
          <w:kern w:val="0"/>
          <w:sz w:val="28"/>
          <w:szCs w:val="28"/>
        </w:rPr>
      </w:pPr>
    </w:p>
    <w:p w14:paraId="247C2409">
      <w:pPr>
        <w:spacing w:line="510" w:lineRule="exact"/>
        <w:jc w:val="center"/>
        <w:rPr>
          <w:b/>
          <w:kern w:val="0"/>
          <w:sz w:val="28"/>
          <w:szCs w:val="28"/>
        </w:rPr>
      </w:pPr>
      <w:r>
        <w:rPr>
          <w:rFonts w:hint="eastAsia" w:ascii="仿宋_GB2312" w:eastAsia="仿宋_GB2312"/>
          <w:sz w:val="32"/>
          <w:szCs w:val="32"/>
        </w:rPr>
        <w:t>济环审（梁山）〔</w:t>
      </w:r>
      <w:r>
        <w:rPr>
          <w:rFonts w:eastAsia="仿宋_GB2312"/>
          <w:sz w:val="32"/>
          <w:szCs w:val="32"/>
        </w:rPr>
        <w:t>202</w:t>
      </w:r>
      <w:r>
        <w:rPr>
          <w:rFonts w:hint="eastAsia" w:eastAsia="仿宋_GB2312"/>
          <w:sz w:val="32"/>
          <w:szCs w:val="32"/>
        </w:rPr>
        <w:t>4</w:t>
      </w:r>
      <w:r>
        <w:rPr>
          <w:rFonts w:hint="eastAsia" w:ascii="仿宋_GB2312" w:eastAsia="仿宋_GB2312"/>
          <w:sz w:val="32"/>
          <w:szCs w:val="32"/>
        </w:rPr>
        <w:t>〕</w:t>
      </w:r>
      <w:r>
        <w:rPr>
          <w:rFonts w:eastAsia="仿宋_GB2312"/>
          <w:sz w:val="32"/>
          <w:szCs w:val="32"/>
        </w:rPr>
        <w:t>4</w:t>
      </w:r>
      <w:r>
        <w:rPr>
          <w:rFonts w:hint="eastAsia" w:ascii="仿宋_GB2312" w:eastAsia="仿宋_GB2312"/>
          <w:sz w:val="32"/>
          <w:szCs w:val="32"/>
        </w:rPr>
        <w:t>号</w:t>
      </w:r>
    </w:p>
    <w:p w14:paraId="4979E334">
      <w:pPr>
        <w:spacing w:line="700" w:lineRule="exact"/>
        <w:jc w:val="center"/>
        <w:rPr>
          <w:rFonts w:eastAsia="仿宋"/>
          <w:bCs/>
          <w:sz w:val="32"/>
          <w:szCs w:val="32"/>
        </w:rPr>
      </w:pPr>
      <w:r>
        <w:rPr>
          <w:sz w:val="44"/>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56515</wp:posOffset>
                </wp:positionV>
                <wp:extent cx="56673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7375" cy="63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9pt;margin-top:4.45pt;height:0.05pt;width:446.25pt;z-index:251659264;mso-width-relative:page;mso-height-relative:page;" filled="f" stroked="t" coordsize="21600,21600" o:gfxdata="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HwZU31gAAAAYBAAAPAAAAAAAAAAEAIAAAACIAAABkcnMvZG93bnJldi54bWxQSwEC&#10;FAAUAAAACACHTuJA4BrDCfYBAADpAwAADgAAAAAAAAABACAAAAAlAQAAZHJzL2Uyb0RvYy54bWxQ&#10;SwUGAAAAAAYABgBZAQAAjQUAAAAA&#10;">
                <v:fill on="f" focussize="0,0"/>
                <v:stroke weight="1.5pt" color="#FF0000" joinstyle="round"/>
                <v:imagedata o:title=""/>
                <o:lock v:ext="edit" aspectratio="f"/>
              </v:line>
            </w:pict>
          </mc:Fallback>
        </mc:AlternateContent>
      </w:r>
      <w:r>
        <w:rPr>
          <w:b/>
          <w:bCs/>
          <w:color w:val="FF0000"/>
          <w:sz w:val="44"/>
          <w:szCs w:val="44"/>
        </w:rPr>
        <w:t xml:space="preserve">   </w:t>
      </w:r>
    </w:p>
    <w:p w14:paraId="5E939580">
      <w:pPr>
        <w:spacing w:line="7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关于山东百居艺木业有限公司新型建筑节能隔音材料生产项目环境影响报告书的</w:t>
      </w:r>
    </w:p>
    <w:p w14:paraId="5E1051BA">
      <w:pPr>
        <w:spacing w:line="7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批</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复</w:t>
      </w:r>
    </w:p>
    <w:p w14:paraId="105BFCC5">
      <w:pPr>
        <w:spacing w:line="640" w:lineRule="exact"/>
        <w:rPr>
          <w:rFonts w:ascii="仿宋_GB2312" w:eastAsia="仿宋_GB2312"/>
          <w:sz w:val="32"/>
          <w:szCs w:val="32"/>
        </w:rPr>
      </w:pPr>
    </w:p>
    <w:p w14:paraId="06FA7E3C">
      <w:pPr>
        <w:spacing w:line="540" w:lineRule="exact"/>
        <w:rPr>
          <w:rFonts w:eastAsia="仿宋_GB2312"/>
          <w:sz w:val="32"/>
          <w:szCs w:val="32"/>
        </w:rPr>
      </w:pPr>
      <w:r>
        <w:rPr>
          <w:rFonts w:hint="eastAsia" w:eastAsia="仿宋_GB2312" w:cs="仿宋_GB2312"/>
          <w:kern w:val="0"/>
          <w:sz w:val="32"/>
          <w:szCs w:val="32"/>
        </w:rPr>
        <w:t>山东百居艺木业有限公司</w:t>
      </w:r>
      <w:r>
        <w:rPr>
          <w:rFonts w:hint="eastAsia" w:eastAsia="仿宋_GB2312"/>
          <w:sz w:val="32"/>
          <w:szCs w:val="32"/>
        </w:rPr>
        <w:t>：</w:t>
      </w:r>
    </w:p>
    <w:p w14:paraId="6BCDBF69">
      <w:pPr>
        <w:spacing w:line="540" w:lineRule="exact"/>
        <w:ind w:firstLine="640" w:firstLineChars="200"/>
        <w:rPr>
          <w:rFonts w:eastAsia="仿宋_GB2312"/>
          <w:sz w:val="32"/>
          <w:szCs w:val="32"/>
        </w:rPr>
      </w:pPr>
      <w:r>
        <w:rPr>
          <w:rFonts w:hint="eastAsia" w:eastAsia="仿宋_GB2312"/>
          <w:sz w:val="32"/>
          <w:szCs w:val="32"/>
        </w:rPr>
        <w:t>你单位报来的《山东百居艺木业有限公司新型建筑节能隔音材料生产项目环境影响报告书》收悉。经研究，批复如下：</w:t>
      </w:r>
    </w:p>
    <w:p w14:paraId="0EB4A952">
      <w:pPr>
        <w:spacing w:line="540" w:lineRule="exact"/>
        <w:ind w:firstLine="640" w:firstLineChars="200"/>
        <w:rPr>
          <w:rFonts w:eastAsia="仿宋_GB2312"/>
          <w:sz w:val="32"/>
          <w:szCs w:val="32"/>
        </w:rPr>
      </w:pPr>
      <w:r>
        <w:rPr>
          <w:rFonts w:hint="eastAsia" w:eastAsia="仿宋_GB2312"/>
          <w:sz w:val="32"/>
          <w:szCs w:val="32"/>
        </w:rPr>
        <w:t>一、项目为新建项目，位于梁山经济开发区</w:t>
      </w:r>
      <w:r>
        <w:rPr>
          <w:rFonts w:hint="eastAsia" w:eastAsia="仿宋_GB2312"/>
          <w:sz w:val="32"/>
          <w:szCs w:val="32"/>
          <w:lang w:val="en-US" w:eastAsia="zh-CN"/>
        </w:rPr>
        <w:t>科龙西路与云龙路交叉口西南约50米处，项目</w:t>
      </w:r>
      <w:r>
        <w:rPr>
          <w:rFonts w:hint="eastAsia" w:eastAsia="仿宋_GB2312"/>
          <w:sz w:val="32"/>
          <w:szCs w:val="32"/>
        </w:rPr>
        <w:t>利用</w:t>
      </w:r>
      <w:r>
        <w:rPr>
          <w:rFonts w:hint="eastAsia" w:eastAsia="仿宋_GB2312"/>
          <w:sz w:val="32"/>
          <w:szCs w:val="32"/>
          <w:lang w:val="en-US" w:eastAsia="zh-CN"/>
        </w:rPr>
        <w:t>现有</w:t>
      </w:r>
      <w:r>
        <w:rPr>
          <w:rFonts w:hint="eastAsia" w:eastAsia="仿宋_GB2312"/>
          <w:sz w:val="32"/>
          <w:szCs w:val="32"/>
        </w:rPr>
        <w:t>厂区现有空置车间作为主车间建设刨花板生产线，配套建设燃料库等储运工程、热能中心</w:t>
      </w:r>
      <w:r>
        <w:rPr>
          <w:rFonts w:hint="eastAsia" w:eastAsia="仿宋_GB2312"/>
          <w:sz w:val="32"/>
          <w:szCs w:val="32"/>
          <w:lang w:eastAsia="zh-CN"/>
        </w:rPr>
        <w:t>（</w:t>
      </w:r>
      <w:r>
        <w:rPr>
          <w:rFonts w:hint="eastAsia" w:eastAsia="仿宋_GB2312"/>
          <w:sz w:val="32"/>
          <w:szCs w:val="32"/>
          <w:lang w:val="en-US" w:eastAsia="zh-CN"/>
        </w:rPr>
        <w:t>1台36MW生物质锅炉提供热源</w:t>
      </w:r>
      <w:bookmarkStart w:id="1" w:name="_GoBack"/>
      <w:bookmarkEnd w:id="1"/>
      <w:r>
        <w:rPr>
          <w:rFonts w:hint="eastAsia" w:eastAsia="仿宋_GB2312"/>
          <w:sz w:val="32"/>
          <w:szCs w:val="32"/>
          <w:lang w:eastAsia="zh-CN"/>
        </w:rPr>
        <w:t>）</w:t>
      </w:r>
      <w:r>
        <w:rPr>
          <w:rFonts w:hint="eastAsia" w:eastAsia="仿宋_GB2312"/>
          <w:sz w:val="32"/>
          <w:szCs w:val="32"/>
        </w:rPr>
        <w:t>等辅助工程、供水供电等新建工程、废水废气等环保工程。项目以枝丫材、原木、废单板、无醛MDI胶黏剂、石蜡等为原料，采用刨花制备</w:t>
      </w:r>
      <w:r>
        <w:rPr>
          <w:rFonts w:hint="eastAsia" w:eastAsia="仿宋_GB2312"/>
          <w:sz w:val="32"/>
          <w:szCs w:val="32"/>
          <w:lang w:eastAsia="zh-CN"/>
        </w:rPr>
        <w:t>（</w:t>
      </w:r>
      <w:r>
        <w:rPr>
          <w:rFonts w:hint="eastAsia" w:eastAsia="仿宋_GB2312"/>
          <w:sz w:val="32"/>
          <w:szCs w:val="32"/>
          <w:lang w:val="en-US" w:eastAsia="zh-CN"/>
        </w:rPr>
        <w:t>削片、刨片</w:t>
      </w:r>
      <w:r>
        <w:rPr>
          <w:rFonts w:hint="eastAsia" w:eastAsia="仿宋_GB2312"/>
          <w:sz w:val="32"/>
          <w:szCs w:val="32"/>
          <w:lang w:eastAsia="zh-CN"/>
        </w:rPr>
        <w:t>）</w:t>
      </w:r>
      <w:r>
        <w:rPr>
          <w:rFonts w:hint="eastAsia" w:eastAsia="仿宋_GB2312"/>
          <w:sz w:val="32"/>
          <w:szCs w:val="32"/>
        </w:rPr>
        <w:t>、干燥分选</w:t>
      </w:r>
      <w:r>
        <w:rPr>
          <w:rFonts w:hint="eastAsia" w:eastAsia="仿宋_GB2312"/>
          <w:sz w:val="32"/>
          <w:szCs w:val="32"/>
          <w:lang w:eastAsia="zh-CN"/>
        </w:rPr>
        <w:t>（</w:t>
      </w:r>
      <w:r>
        <w:rPr>
          <w:rFonts w:hint="eastAsia" w:eastAsia="仿宋_GB2312"/>
          <w:sz w:val="32"/>
          <w:szCs w:val="32"/>
          <w:lang w:val="en-US" w:eastAsia="zh-CN"/>
        </w:rPr>
        <w:t>干燥、筛分</w:t>
      </w:r>
      <w:r>
        <w:rPr>
          <w:rFonts w:hint="eastAsia" w:eastAsia="仿宋_GB2312"/>
          <w:sz w:val="32"/>
          <w:szCs w:val="32"/>
          <w:lang w:eastAsia="zh-CN"/>
        </w:rPr>
        <w:t>）</w:t>
      </w:r>
      <w:r>
        <w:rPr>
          <w:rFonts w:hint="eastAsia" w:eastAsia="仿宋_GB2312"/>
          <w:sz w:val="32"/>
          <w:szCs w:val="32"/>
        </w:rPr>
        <w:t>、施胶</w:t>
      </w:r>
      <w:r>
        <w:rPr>
          <w:rFonts w:hint="eastAsia" w:eastAsia="仿宋_GB2312"/>
          <w:sz w:val="32"/>
          <w:szCs w:val="32"/>
          <w:lang w:eastAsia="zh-CN"/>
        </w:rPr>
        <w:t>（</w:t>
      </w:r>
      <w:r>
        <w:rPr>
          <w:rFonts w:hint="eastAsia" w:eastAsia="仿宋_GB2312"/>
          <w:sz w:val="32"/>
          <w:szCs w:val="32"/>
          <w:lang w:val="en-US" w:eastAsia="zh-CN"/>
        </w:rPr>
        <w:t>石蜡融化、调胶、施胶</w:t>
      </w:r>
      <w:r>
        <w:rPr>
          <w:rFonts w:hint="eastAsia" w:eastAsia="仿宋_GB2312"/>
          <w:sz w:val="32"/>
          <w:szCs w:val="32"/>
          <w:lang w:eastAsia="zh-CN"/>
        </w:rPr>
        <w:t>）</w:t>
      </w:r>
      <w:r>
        <w:rPr>
          <w:rFonts w:hint="eastAsia" w:eastAsia="仿宋_GB2312"/>
          <w:sz w:val="32"/>
          <w:szCs w:val="32"/>
        </w:rPr>
        <w:t>、成型</w:t>
      </w:r>
      <w:r>
        <w:rPr>
          <w:rFonts w:hint="eastAsia" w:eastAsia="仿宋_GB2312"/>
          <w:sz w:val="32"/>
          <w:szCs w:val="32"/>
          <w:lang w:eastAsia="zh-CN"/>
        </w:rPr>
        <w:t>（</w:t>
      </w:r>
      <w:r>
        <w:rPr>
          <w:rFonts w:hint="eastAsia" w:eastAsia="仿宋_GB2312"/>
          <w:sz w:val="32"/>
          <w:szCs w:val="32"/>
          <w:lang w:val="en-US" w:eastAsia="zh-CN"/>
        </w:rPr>
        <w:t>铺装、热压</w:t>
      </w:r>
      <w:r>
        <w:rPr>
          <w:rFonts w:hint="eastAsia" w:eastAsia="仿宋_GB2312"/>
          <w:sz w:val="32"/>
          <w:szCs w:val="32"/>
          <w:lang w:eastAsia="zh-CN"/>
        </w:rPr>
        <w:t>）</w:t>
      </w:r>
      <w:r>
        <w:rPr>
          <w:rFonts w:hint="eastAsia" w:eastAsia="仿宋_GB2312"/>
          <w:sz w:val="32"/>
          <w:szCs w:val="32"/>
        </w:rPr>
        <w:t>、后处理</w:t>
      </w:r>
      <w:r>
        <w:rPr>
          <w:rFonts w:hint="eastAsia" w:eastAsia="仿宋_GB2312"/>
          <w:sz w:val="32"/>
          <w:szCs w:val="32"/>
          <w:lang w:eastAsia="zh-CN"/>
        </w:rPr>
        <w:t>（</w:t>
      </w:r>
      <w:r>
        <w:rPr>
          <w:rFonts w:hint="eastAsia" w:eastAsia="仿宋_GB2312"/>
          <w:sz w:val="32"/>
          <w:szCs w:val="32"/>
          <w:lang w:val="en-US" w:eastAsia="zh-CN"/>
        </w:rPr>
        <w:t>齐边、冷却</w:t>
      </w:r>
      <w:r>
        <w:rPr>
          <w:rFonts w:hint="eastAsia" w:eastAsia="仿宋_GB2312"/>
          <w:sz w:val="32"/>
          <w:szCs w:val="32"/>
          <w:lang w:eastAsia="zh-CN"/>
        </w:rPr>
        <w:t>）</w:t>
      </w:r>
      <w:r>
        <w:rPr>
          <w:rFonts w:hint="eastAsia" w:eastAsia="仿宋_GB2312"/>
          <w:sz w:val="32"/>
          <w:szCs w:val="32"/>
        </w:rPr>
        <w:t>等生产工艺，建成后年产30万</w:t>
      </w:r>
      <w:r>
        <w:rPr>
          <w:rFonts w:eastAsia="仿宋"/>
          <w:kern w:val="0"/>
          <w:sz w:val="32"/>
          <w:szCs w:val="32"/>
        </w:rPr>
        <w:t>m</w:t>
      </w:r>
      <w:r>
        <w:rPr>
          <w:rFonts w:eastAsia="仿宋"/>
          <w:kern w:val="0"/>
          <w:sz w:val="32"/>
          <w:szCs w:val="32"/>
          <w:vertAlign w:val="superscript"/>
        </w:rPr>
        <w:t>3</w:t>
      </w:r>
      <w:r>
        <w:rPr>
          <w:rFonts w:hint="eastAsia" w:eastAsia="仿宋_GB2312"/>
          <w:sz w:val="32"/>
          <w:szCs w:val="32"/>
        </w:rPr>
        <w:t>定向刨花板。项目总投资51000万元，其中环保投资1025万元，占总投资的2.01%。</w:t>
      </w:r>
    </w:p>
    <w:p w14:paraId="78A62B11">
      <w:pPr>
        <w:widowControl/>
        <w:spacing w:line="560" w:lineRule="exact"/>
        <w:ind w:firstLine="640" w:firstLineChars="200"/>
        <w:jc w:val="left"/>
        <w:rPr>
          <w:rFonts w:hint="eastAsia" w:eastAsia="仿宋_GB2312"/>
          <w:sz w:val="32"/>
        </w:rPr>
      </w:pPr>
      <w:r>
        <w:rPr>
          <w:rFonts w:hint="eastAsia" w:eastAsia="仿宋_GB2312"/>
          <w:sz w:val="32"/>
          <w:szCs w:val="32"/>
        </w:rPr>
        <w:t>项目属于《产业结构调整指导目录（2024年本）》允许建设项目，已取得山东省建设项目备案证明项目代码：2108-370832-04-01-380576），符合国家产业政策。项目位于梁山经济开发区内，用地为工业用地，符合《梁山县国土空间总体规划（2021-2035年）》</w:t>
      </w:r>
      <w:r>
        <w:rPr>
          <w:rFonts w:hint="eastAsia" w:eastAsia="仿宋_GB2312"/>
          <w:sz w:val="32"/>
        </w:rPr>
        <w:t>、《梁山经济开发区发展规划（2022-2035年）》</w:t>
      </w:r>
      <w:r>
        <w:rPr>
          <w:rFonts w:hint="eastAsia" w:eastAsia="仿宋_GB2312"/>
          <w:sz w:val="32"/>
          <w:szCs w:val="32"/>
        </w:rPr>
        <w:t>等相关规划要求，</w:t>
      </w:r>
      <w:r>
        <w:rPr>
          <w:rFonts w:hint="eastAsia" w:eastAsia="仿宋_GB2312"/>
          <w:sz w:val="32"/>
        </w:rPr>
        <w:t>符合《梁山经济开发区发展规划（2022-2035年）环境影响报告书》及审查意见中确定的行业类别、准入条件，符合</w:t>
      </w:r>
      <w:r>
        <w:rPr>
          <w:rFonts w:eastAsia="仿宋_GB2312"/>
          <w:sz w:val="32"/>
        </w:rPr>
        <w:t>济宁市生态环境委员会办公室关于印发《济宁市“三线一单”生态环境分区管控更新方案（202</w:t>
      </w:r>
      <w:r>
        <w:rPr>
          <w:rFonts w:hint="eastAsia" w:eastAsia="仿宋_GB2312"/>
          <w:sz w:val="32"/>
        </w:rPr>
        <w:t>3</w:t>
      </w:r>
      <w:r>
        <w:rPr>
          <w:rFonts w:eastAsia="仿宋_GB2312"/>
          <w:sz w:val="32"/>
        </w:rPr>
        <w:t>年动态更新）》的通知</w:t>
      </w:r>
      <w:r>
        <w:rPr>
          <w:rFonts w:hint="eastAsia" w:eastAsia="仿宋_GB2312"/>
          <w:sz w:val="32"/>
        </w:rPr>
        <w:t>（济环委办〔2024〕5号）等文件要求。</w:t>
      </w:r>
    </w:p>
    <w:p w14:paraId="015DDCEA">
      <w:pPr>
        <w:spacing w:line="540" w:lineRule="exact"/>
        <w:ind w:firstLine="640" w:firstLineChars="200"/>
        <w:rPr>
          <w:rFonts w:eastAsia="仿宋_GB2312"/>
          <w:sz w:val="32"/>
          <w:szCs w:val="32"/>
        </w:rPr>
      </w:pPr>
      <w:r>
        <w:rPr>
          <w:rFonts w:hint="eastAsia" w:eastAsia="仿宋_GB2312"/>
          <w:sz w:val="32"/>
          <w:szCs w:val="32"/>
        </w:rPr>
        <w:t>在严格落实报告书提出的各项污染防治措施、生态保护措施及风险控制措施和本批复要求的前提下，从环境保护角度，该项目建设可行。</w:t>
      </w:r>
    </w:p>
    <w:p w14:paraId="50423A67">
      <w:pPr>
        <w:spacing w:line="540" w:lineRule="exact"/>
        <w:ind w:firstLine="640" w:firstLineChars="200"/>
        <w:rPr>
          <w:rFonts w:eastAsia="仿宋_GB2312"/>
          <w:sz w:val="32"/>
          <w:szCs w:val="32"/>
        </w:rPr>
      </w:pPr>
      <w:r>
        <w:rPr>
          <w:rFonts w:hint="eastAsia" w:eastAsia="仿宋_GB2312"/>
          <w:sz w:val="32"/>
          <w:szCs w:val="32"/>
        </w:rPr>
        <w:t>二、项目建设和运行管理中应重点做好以下工作：</w:t>
      </w:r>
    </w:p>
    <w:p w14:paraId="11701AF8">
      <w:pPr>
        <w:spacing w:line="540" w:lineRule="exact"/>
        <w:ind w:firstLine="640" w:firstLineChars="200"/>
        <w:rPr>
          <w:rFonts w:eastAsia="仿宋_GB2312"/>
          <w:sz w:val="32"/>
          <w:szCs w:val="32"/>
        </w:rPr>
      </w:pPr>
      <w:bookmarkStart w:id="0" w:name="OLE_LINK18"/>
      <w:r>
        <w:rPr>
          <w:rFonts w:hint="eastAsia" w:eastAsia="仿宋_GB2312"/>
          <w:sz w:val="32"/>
          <w:szCs w:val="32"/>
        </w:rPr>
        <w:t>（一）强化各类工艺废气治理措施。</w:t>
      </w:r>
    </w:p>
    <w:p w14:paraId="1FBBA07D">
      <w:pPr>
        <w:spacing w:line="540" w:lineRule="exact"/>
        <w:ind w:firstLine="640" w:firstLineChars="200"/>
        <w:rPr>
          <w:rFonts w:eastAsia="仿宋_GB2312"/>
          <w:sz w:val="32"/>
          <w:szCs w:val="32"/>
        </w:rPr>
      </w:pPr>
      <w:r>
        <w:rPr>
          <w:rFonts w:hint="eastAsia" w:eastAsia="仿宋_GB2312"/>
          <w:sz w:val="32"/>
          <w:szCs w:val="32"/>
        </w:rPr>
        <w:t>1、有组织排放废气</w:t>
      </w:r>
    </w:p>
    <w:p w14:paraId="4B552624">
      <w:pPr>
        <w:spacing w:line="540" w:lineRule="exact"/>
        <w:ind w:firstLine="640" w:firstLineChars="200"/>
        <w:rPr>
          <w:rFonts w:eastAsia="仿宋_GB2312"/>
          <w:sz w:val="32"/>
          <w:szCs w:val="32"/>
        </w:rPr>
      </w:pPr>
      <w:r>
        <w:rPr>
          <w:rFonts w:hint="eastAsia" w:eastAsia="仿宋_GB2312"/>
          <w:sz w:val="32"/>
          <w:szCs w:val="32"/>
        </w:rPr>
        <w:t>刨片废气、筛分废气、铺装废气、齐边废气分别经5套旋风除尘器+脉冲袋式除尘器处理后，通过15m高的排气筒（DA001、DA002、DA003、DA004、DA005）排放；热压废气</w:t>
      </w:r>
      <w:r>
        <w:rPr>
          <w:rFonts w:hint="eastAsia" w:eastAsia="仿宋_GB2312"/>
          <w:sz w:val="32"/>
          <w:szCs w:val="32"/>
          <w:lang w:val="en-US" w:eastAsia="zh-CN"/>
        </w:rPr>
        <w:t>进入</w:t>
      </w:r>
      <w:r>
        <w:rPr>
          <w:rFonts w:hint="eastAsia" w:eastAsia="仿宋_GB2312"/>
          <w:sz w:val="32"/>
          <w:szCs w:val="32"/>
        </w:rPr>
        <w:t>热能中心焚烧处理</w:t>
      </w:r>
      <w:r>
        <w:rPr>
          <w:rFonts w:hint="eastAsia" w:eastAsia="仿宋_GB2312"/>
          <w:sz w:val="32"/>
          <w:szCs w:val="32"/>
          <w:lang w:val="en-US" w:eastAsia="zh-CN"/>
        </w:rPr>
        <w:t>后经48m高排气筒DA006排放</w:t>
      </w:r>
      <w:r>
        <w:rPr>
          <w:rFonts w:hint="eastAsia" w:eastAsia="仿宋_GB2312"/>
          <w:sz w:val="32"/>
          <w:szCs w:val="32"/>
          <w:lang w:eastAsia="zh-CN"/>
        </w:rPr>
        <w:t>；</w:t>
      </w:r>
      <w:r>
        <w:rPr>
          <w:rFonts w:hint="eastAsia" w:eastAsia="仿宋_GB2312"/>
          <w:sz w:val="32"/>
          <w:szCs w:val="32"/>
          <w:lang w:val="en-US" w:eastAsia="zh-CN"/>
        </w:rPr>
        <w:t>热能中心经</w:t>
      </w:r>
      <w:r>
        <w:rPr>
          <w:rFonts w:hint="eastAsia" w:eastAsia="仿宋_GB2312"/>
          <w:sz w:val="32"/>
          <w:szCs w:val="32"/>
        </w:rPr>
        <w:t>SNCR脱</w:t>
      </w:r>
      <w:r>
        <w:rPr>
          <w:rFonts w:hint="eastAsia" w:eastAsia="仿宋_GB2312"/>
          <w:sz w:val="32"/>
          <w:szCs w:val="32"/>
          <w:lang w:val="en-US" w:eastAsia="zh-CN"/>
        </w:rPr>
        <w:t>硝+低氮燃烧废气经旋风多管除尘器处理后用于干燥工序，干燥尾气经</w:t>
      </w:r>
      <w:r>
        <w:rPr>
          <w:rFonts w:hint="eastAsia" w:eastAsia="仿宋_GB2312"/>
          <w:sz w:val="32"/>
          <w:szCs w:val="32"/>
        </w:rPr>
        <w:t>旋风多管除尘+湿</w:t>
      </w:r>
      <w:r>
        <w:rPr>
          <w:rFonts w:hint="eastAsia" w:eastAsia="仿宋_GB2312"/>
          <w:sz w:val="32"/>
          <w:szCs w:val="32"/>
          <w:lang w:val="en-US" w:eastAsia="zh-CN"/>
        </w:rPr>
        <w:t>式</w:t>
      </w:r>
      <w:r>
        <w:rPr>
          <w:rFonts w:hint="eastAsia" w:eastAsia="仿宋_GB2312"/>
          <w:sz w:val="32"/>
          <w:szCs w:val="32"/>
        </w:rPr>
        <w:t>静电除尘系统处理后，通过48m高DA006排气筒排放。</w:t>
      </w:r>
    </w:p>
    <w:p w14:paraId="05D0C0AA">
      <w:pPr>
        <w:spacing w:line="540" w:lineRule="exact"/>
        <w:ind w:firstLine="640" w:firstLineChars="200"/>
        <w:rPr>
          <w:rFonts w:eastAsia="仿宋_GB2312"/>
          <w:sz w:val="32"/>
          <w:szCs w:val="32"/>
        </w:rPr>
      </w:pPr>
      <w:r>
        <w:rPr>
          <w:rFonts w:hint="eastAsia" w:eastAsia="仿宋_GB2312"/>
          <w:sz w:val="32"/>
          <w:szCs w:val="32"/>
        </w:rPr>
        <w:t>项目有组织废气</w:t>
      </w:r>
      <w:r>
        <w:rPr>
          <w:rFonts w:hint="eastAsia" w:eastAsia="仿宋_GB2312"/>
          <w:sz w:val="32"/>
          <w:szCs w:val="32"/>
          <w:lang w:val="en-US" w:eastAsia="zh-CN"/>
        </w:rPr>
        <w:t>排放应满足</w:t>
      </w:r>
      <w:r>
        <w:rPr>
          <w:rFonts w:hint="eastAsia" w:eastAsia="仿宋_GB2312"/>
          <w:sz w:val="32"/>
          <w:szCs w:val="32"/>
        </w:rPr>
        <w:t>《区域性大气污染物综合排放标准》（DB 37/ 2376-2019）“一般控制区”、《大气污染物综合排放标准》（GB16297-1996）、《挥发性有机物排放标准 第7部分：其他行业》（DB37</w:t>
      </w:r>
      <w:r>
        <w:rPr>
          <w:rFonts w:eastAsia="仿宋_GB2312"/>
          <w:sz w:val="32"/>
          <w:szCs w:val="32"/>
        </w:rPr>
        <w:t>/</w:t>
      </w:r>
      <w:r>
        <w:rPr>
          <w:rFonts w:hint="eastAsia" w:eastAsia="仿宋_GB2312"/>
          <w:sz w:val="32"/>
          <w:szCs w:val="32"/>
        </w:rPr>
        <w:t>2801.7-2019）、《挥发性有机物排放标准第6部分：有机化工行业》》（DB37/2801.6-2018）要求。</w:t>
      </w:r>
    </w:p>
    <w:p w14:paraId="3FDD1BF5">
      <w:pPr>
        <w:spacing w:line="560" w:lineRule="exact"/>
        <w:ind w:firstLine="640" w:firstLineChars="200"/>
        <w:rPr>
          <w:rFonts w:eastAsia="仿宋_GB2312"/>
          <w:sz w:val="32"/>
          <w:szCs w:val="32"/>
        </w:rPr>
      </w:pPr>
      <w:r>
        <w:rPr>
          <w:rFonts w:hint="eastAsia" w:eastAsia="仿宋_GB2312"/>
          <w:sz w:val="32"/>
          <w:szCs w:val="32"/>
        </w:rPr>
        <w:t>2、无组织排放废气</w:t>
      </w:r>
    </w:p>
    <w:p w14:paraId="48E714B6">
      <w:pPr>
        <w:spacing w:line="560" w:lineRule="exact"/>
        <w:ind w:firstLine="640" w:firstLineChars="200"/>
        <w:rPr>
          <w:rFonts w:eastAsia="仿宋_GB2312"/>
          <w:sz w:val="32"/>
          <w:szCs w:val="32"/>
        </w:rPr>
      </w:pPr>
      <w:r>
        <w:rPr>
          <w:rFonts w:hint="eastAsia" w:eastAsia="仿宋_GB2312"/>
          <w:sz w:val="32"/>
          <w:szCs w:val="32"/>
        </w:rPr>
        <w:t>项目运行过程中应加强生产管理和设备管理，对生产设备及管线</w:t>
      </w:r>
      <w:r>
        <w:rPr>
          <w:rFonts w:hint="eastAsia" w:eastAsia="仿宋_GB2312"/>
          <w:sz w:val="32"/>
          <w:szCs w:val="32"/>
          <w:lang w:eastAsia="zh-CN"/>
        </w:rPr>
        <w:t>、</w:t>
      </w:r>
      <w:r>
        <w:rPr>
          <w:rFonts w:hint="eastAsia" w:eastAsia="仿宋_GB2312"/>
          <w:sz w:val="32"/>
          <w:szCs w:val="32"/>
          <w:lang w:val="en-US" w:eastAsia="zh-CN"/>
        </w:rPr>
        <w:t>储胶罐</w:t>
      </w:r>
      <w:r>
        <w:rPr>
          <w:rFonts w:hint="eastAsia" w:eastAsia="仿宋_GB2312"/>
          <w:sz w:val="32"/>
          <w:szCs w:val="32"/>
        </w:rPr>
        <w:t>进行定期检修，减少设备的“跑、冒、滴、漏”现象；采用密封性能好的罐及阀门，优化卸料作业方式；定期洒水降尘，控制厂区内无组织粉尘污染。</w:t>
      </w:r>
    </w:p>
    <w:p w14:paraId="66179B3D">
      <w:pPr>
        <w:widowControl/>
        <w:ind w:firstLine="640" w:firstLineChars="200"/>
        <w:jc w:val="left"/>
        <w:rPr>
          <w:rFonts w:hint="eastAsia" w:eastAsia="仿宋_GB2312"/>
          <w:sz w:val="32"/>
          <w:szCs w:val="32"/>
        </w:rPr>
      </w:pPr>
      <w:r>
        <w:rPr>
          <w:rFonts w:hint="eastAsia" w:eastAsia="仿宋_GB2312"/>
          <w:sz w:val="32"/>
          <w:szCs w:val="32"/>
        </w:rPr>
        <w:t>项目无组织废气</w:t>
      </w:r>
      <w:r>
        <w:rPr>
          <w:rFonts w:hint="eastAsia" w:eastAsia="仿宋_GB2312"/>
          <w:sz w:val="32"/>
          <w:szCs w:val="32"/>
          <w:lang w:val="en-US" w:eastAsia="zh-CN"/>
        </w:rPr>
        <w:t>排放需满足</w:t>
      </w:r>
      <w:r>
        <w:rPr>
          <w:rFonts w:hint="eastAsia" w:eastAsia="仿宋_GB2312"/>
          <w:sz w:val="32"/>
          <w:szCs w:val="32"/>
        </w:rPr>
        <w:t>《挥发性有机物排放标准 第7部分 其他行业》（DB37/2801.7-2019）表2、《大气污染物综合排放标准》（GB16297-1996）表2中二级标准要</w:t>
      </w:r>
      <w:r>
        <w:rPr>
          <w:rFonts w:hint="eastAsia" w:eastAsia="仿宋_GB2312"/>
          <w:sz w:val="32"/>
          <w:szCs w:val="32"/>
          <w:lang w:val="en-US" w:eastAsia="zh-CN"/>
        </w:rPr>
        <w:t>及</w:t>
      </w:r>
      <w:r>
        <w:rPr>
          <w:rFonts w:hint="eastAsia" w:eastAsia="仿宋_GB2312"/>
          <w:sz w:val="32"/>
          <w:szCs w:val="32"/>
        </w:rPr>
        <w:t>《挥发性有机物无组织排放控制标准》（GB37822</w:t>
      </w:r>
      <w:r>
        <w:rPr>
          <w:rFonts w:hint="eastAsia" w:eastAsia="仿宋_GB2312"/>
          <w:sz w:val="32"/>
          <w:szCs w:val="32"/>
          <w:lang w:val="en-US" w:eastAsia="zh-CN"/>
        </w:rPr>
        <w:t>-</w:t>
      </w:r>
      <w:r>
        <w:rPr>
          <w:rFonts w:hint="eastAsia" w:eastAsia="仿宋_GB2312"/>
          <w:sz w:val="32"/>
          <w:szCs w:val="32"/>
        </w:rPr>
        <w:t>2019）中附录 A 中表 A.1 的无组织特别排放限值</w:t>
      </w:r>
      <w:r>
        <w:rPr>
          <w:rFonts w:hint="eastAsia" w:eastAsia="仿宋_GB2312"/>
          <w:sz w:val="32"/>
          <w:szCs w:val="32"/>
          <w:lang w:val="en-US" w:eastAsia="zh-CN"/>
        </w:rPr>
        <w:t>要求</w:t>
      </w:r>
      <w:r>
        <w:rPr>
          <w:rFonts w:hint="eastAsia" w:eastAsia="仿宋_GB2312"/>
          <w:sz w:val="32"/>
          <w:szCs w:val="32"/>
        </w:rPr>
        <w:t>。</w:t>
      </w:r>
    </w:p>
    <w:p w14:paraId="2AA247BD">
      <w:pPr>
        <w:spacing w:line="540" w:lineRule="exact"/>
        <w:ind w:firstLine="640" w:firstLineChars="200"/>
        <w:rPr>
          <w:rFonts w:eastAsia="仿宋_GB2312"/>
          <w:sz w:val="32"/>
          <w:szCs w:val="32"/>
        </w:rPr>
      </w:pPr>
      <w:r>
        <w:rPr>
          <w:rFonts w:hint="eastAsia" w:eastAsia="仿宋_GB2312"/>
          <w:sz w:val="32"/>
          <w:szCs w:val="32"/>
        </w:rPr>
        <w:t>（二）强化废水治理措施。</w:t>
      </w:r>
    </w:p>
    <w:p w14:paraId="464D4DD3">
      <w:pPr>
        <w:spacing w:line="540" w:lineRule="exact"/>
        <w:ind w:firstLine="640" w:firstLineChars="200"/>
        <w:rPr>
          <w:rFonts w:hint="eastAsia" w:eastAsia="仿宋_GB2312"/>
          <w:sz w:val="32"/>
        </w:rPr>
      </w:pPr>
      <w:r>
        <w:rPr>
          <w:rFonts w:hint="eastAsia" w:eastAsia="仿宋_GB2312"/>
          <w:sz w:val="32"/>
        </w:rPr>
        <w:t>项目要实施“清污分流、雨污分流”，提高水的重复利用率，减少废水排放量。</w:t>
      </w:r>
    </w:p>
    <w:p w14:paraId="1B7E88CB">
      <w:pPr>
        <w:spacing w:line="540" w:lineRule="exact"/>
        <w:ind w:firstLine="640" w:firstLineChars="200"/>
        <w:rPr>
          <w:rFonts w:hint="eastAsia" w:eastAsia="仿宋_GB2312"/>
          <w:sz w:val="32"/>
          <w:szCs w:val="32"/>
        </w:rPr>
      </w:pPr>
      <w:r>
        <w:rPr>
          <w:rFonts w:hint="eastAsia" w:eastAsia="仿宋_GB2312"/>
          <w:sz w:val="32"/>
          <w:szCs w:val="32"/>
        </w:rPr>
        <w:t>项目废水干燥尾气处理系统排水回用于燃料加湿；软水制备产生的浓水回用于干燥尾气处理系统。生活污水经化粪池处理</w:t>
      </w:r>
      <w:r>
        <w:rPr>
          <w:rFonts w:hint="eastAsia" w:eastAsia="仿宋_GB2312"/>
          <w:sz w:val="32"/>
          <w:szCs w:val="32"/>
          <w:lang w:val="en-US" w:eastAsia="zh-CN"/>
        </w:rPr>
        <w:t>后</w:t>
      </w:r>
      <w:r>
        <w:rPr>
          <w:rFonts w:hint="eastAsia" w:eastAsia="仿宋_GB2312"/>
          <w:sz w:val="32"/>
          <w:szCs w:val="32"/>
        </w:rPr>
        <w:t>满足《污水综合排放标准》（GB8978-1996）三级标准及</w:t>
      </w:r>
      <w:r>
        <w:rPr>
          <w:rFonts w:hint="eastAsia" w:eastAsia="仿宋_GB2312"/>
          <w:sz w:val="32"/>
          <w:szCs w:val="32"/>
          <w:lang w:val="en-US" w:eastAsia="zh-CN"/>
        </w:rPr>
        <w:t>开发区</w:t>
      </w:r>
      <w:r>
        <w:rPr>
          <w:rFonts w:hint="eastAsia" w:eastAsia="仿宋_GB2312"/>
          <w:sz w:val="32"/>
          <w:szCs w:val="32"/>
        </w:rPr>
        <w:t>污水处理厂接管要求后进入梁山经济开发区污水处理厂处理，出水满足《流域水污染物综合排放标准 第1部分：南四湖东平湖流域》（DB37/3416.1-2023）标准后进入琉璃河。</w:t>
      </w:r>
    </w:p>
    <w:p w14:paraId="02F4BDD4">
      <w:pPr>
        <w:numPr>
          <w:ilvl w:val="0"/>
          <w:numId w:val="2"/>
        </w:numPr>
        <w:spacing w:line="540" w:lineRule="exact"/>
        <w:ind w:firstLine="640" w:firstLineChars="200"/>
        <w:rPr>
          <w:rFonts w:eastAsia="仿宋_GB2312"/>
          <w:sz w:val="32"/>
          <w:szCs w:val="32"/>
        </w:rPr>
      </w:pPr>
      <w:r>
        <w:rPr>
          <w:rFonts w:hint="eastAsia" w:eastAsia="仿宋_GB2312"/>
          <w:sz w:val="32"/>
        </w:rPr>
        <w:t>加强噪声污</w:t>
      </w:r>
      <w:r>
        <w:rPr>
          <w:rFonts w:hint="eastAsia" w:eastAsia="仿宋_GB2312"/>
          <w:sz w:val="32"/>
          <w:szCs w:val="32"/>
        </w:rPr>
        <w:t>染防治。</w:t>
      </w:r>
    </w:p>
    <w:p w14:paraId="274843E1">
      <w:pPr>
        <w:numPr>
          <w:ilvl w:val="0"/>
          <w:numId w:val="0"/>
        </w:numPr>
        <w:spacing w:line="540" w:lineRule="exact"/>
        <w:ind w:firstLine="640" w:firstLineChars="200"/>
        <w:rPr>
          <w:rFonts w:eastAsia="仿宋_GB2312"/>
          <w:sz w:val="32"/>
          <w:szCs w:val="32"/>
        </w:rPr>
      </w:pPr>
      <w:r>
        <w:rPr>
          <w:rFonts w:hint="eastAsia" w:eastAsia="仿宋_GB2312"/>
          <w:sz w:val="32"/>
          <w:szCs w:val="32"/>
          <w:lang w:val="en-US" w:eastAsia="zh-CN"/>
        </w:rPr>
        <w:t>优化厂区平面布局，</w:t>
      </w:r>
      <w:r>
        <w:rPr>
          <w:rFonts w:eastAsia="仿宋_GB2312"/>
          <w:sz w:val="32"/>
          <w:szCs w:val="32"/>
        </w:rPr>
        <w:t>采取隔声、减振处理措施</w:t>
      </w:r>
      <w:r>
        <w:rPr>
          <w:rFonts w:hint="eastAsia" w:eastAsia="仿宋_GB2312"/>
          <w:sz w:val="32"/>
          <w:szCs w:val="32"/>
        </w:rPr>
        <w:t>，</w:t>
      </w:r>
      <w:r>
        <w:rPr>
          <w:rFonts w:hint="eastAsia" w:eastAsia="仿宋_GB2312"/>
          <w:sz w:val="32"/>
          <w:szCs w:val="32"/>
          <w:lang w:val="en-US" w:eastAsia="zh-CN"/>
        </w:rPr>
        <w:t>确保</w:t>
      </w:r>
      <w:r>
        <w:rPr>
          <w:rFonts w:eastAsia="仿宋_GB2312"/>
          <w:sz w:val="32"/>
          <w:szCs w:val="32"/>
        </w:rPr>
        <w:t>厂界噪声</w:t>
      </w:r>
      <w:r>
        <w:rPr>
          <w:rFonts w:hint="eastAsia" w:eastAsia="仿宋_GB2312"/>
          <w:sz w:val="32"/>
          <w:szCs w:val="32"/>
          <w:lang w:val="en-US" w:eastAsia="zh-CN"/>
        </w:rPr>
        <w:t>排放</w:t>
      </w:r>
      <w:r>
        <w:rPr>
          <w:rFonts w:eastAsia="仿宋_GB2312"/>
          <w:sz w:val="32"/>
          <w:szCs w:val="32"/>
        </w:rPr>
        <w:t>满足《工业企业厂界环境噪声排放标准》（GB12348-2008）中的</w:t>
      </w:r>
      <w:r>
        <w:rPr>
          <w:rFonts w:hint="eastAsia" w:eastAsia="仿宋_GB2312"/>
          <w:sz w:val="32"/>
          <w:szCs w:val="32"/>
        </w:rPr>
        <w:t>2类</w:t>
      </w:r>
      <w:r>
        <w:rPr>
          <w:rFonts w:eastAsia="仿宋_GB2312"/>
          <w:sz w:val="32"/>
          <w:szCs w:val="32"/>
        </w:rPr>
        <w:t>标准的要求</w:t>
      </w:r>
      <w:r>
        <w:rPr>
          <w:rFonts w:hint="eastAsia" w:eastAsia="仿宋_GB2312"/>
          <w:sz w:val="32"/>
          <w:szCs w:val="32"/>
          <w:lang w:eastAsia="zh-CN"/>
        </w:rPr>
        <w:t>，</w:t>
      </w:r>
      <w:r>
        <w:rPr>
          <w:rFonts w:hint="eastAsia" w:eastAsia="仿宋_GB2312"/>
          <w:sz w:val="32"/>
          <w:szCs w:val="32"/>
          <w:lang w:val="en-US" w:eastAsia="zh-CN"/>
        </w:rPr>
        <w:t>声环境保护目标处满足《声环境质量标准》（GB3096-2008）中相关要求</w:t>
      </w:r>
      <w:r>
        <w:rPr>
          <w:rFonts w:hint="eastAsia" w:eastAsia="仿宋_GB2312"/>
          <w:sz w:val="32"/>
          <w:szCs w:val="32"/>
        </w:rPr>
        <w:t>。</w:t>
      </w:r>
    </w:p>
    <w:p w14:paraId="1D441336">
      <w:pPr>
        <w:widowControl/>
        <w:spacing w:line="560" w:lineRule="exact"/>
        <w:ind w:firstLine="640" w:firstLineChars="200"/>
        <w:jc w:val="left"/>
        <w:rPr>
          <w:rFonts w:eastAsia="仿宋_GB2312"/>
          <w:sz w:val="32"/>
        </w:rPr>
      </w:pPr>
      <w:r>
        <w:rPr>
          <w:rFonts w:hint="eastAsia" w:eastAsia="仿宋_GB2312"/>
          <w:sz w:val="32"/>
        </w:rPr>
        <w:t>（四）做好固体废物的收集和处置。</w:t>
      </w:r>
    </w:p>
    <w:p w14:paraId="3C5181E7">
      <w:pPr>
        <w:spacing w:line="540" w:lineRule="exact"/>
        <w:ind w:firstLine="640" w:firstLineChars="200"/>
        <w:rPr>
          <w:rFonts w:eastAsia="仿宋_GB2312"/>
          <w:sz w:val="32"/>
        </w:rPr>
      </w:pPr>
      <w:r>
        <w:rPr>
          <w:rFonts w:hint="eastAsia" w:eastAsia="仿宋_GB2312"/>
          <w:sz w:val="32"/>
        </w:rPr>
        <w:t>项目产生的废树脂、热能中心</w:t>
      </w:r>
      <w:r>
        <w:rPr>
          <w:rFonts w:hint="eastAsia" w:eastAsia="仿宋_GB2312"/>
          <w:sz w:val="32"/>
          <w:lang w:val="en-US" w:eastAsia="zh-CN"/>
        </w:rPr>
        <w:t>灰</w:t>
      </w:r>
      <w:r>
        <w:rPr>
          <w:rFonts w:hint="eastAsia" w:eastAsia="仿宋_GB2312"/>
          <w:sz w:val="32"/>
        </w:rPr>
        <w:t>渣、热能中心回收粉尘收集后外售综合利用，除尘器收集粉尘送热能中心作燃料，木质废料部分回用生产，部分送热能中心作燃料；废原料包装袋、废机油、废导热油、废机油桶和废胶渣为危险废物，委托有资质的单位进行处置。</w:t>
      </w:r>
      <w:r>
        <w:rPr>
          <w:rFonts w:hint="eastAsia" w:ascii="Times New Roman" w:hAnsi="Times New Roman" w:eastAsia="仿宋_GB2312" w:cs="Times New Roman"/>
          <w:sz w:val="32"/>
          <w:lang w:val="en-US" w:eastAsia="zh-CN"/>
        </w:rPr>
        <w:t>对环评未识别出的危险废物，一经确认须按危废管理规定管理。</w:t>
      </w:r>
    </w:p>
    <w:p w14:paraId="6998C46E">
      <w:pPr>
        <w:spacing w:line="540" w:lineRule="exact"/>
        <w:ind w:firstLine="640" w:firstLineChars="200"/>
        <w:rPr>
          <w:rFonts w:eastAsia="仿宋_GB2312"/>
          <w:sz w:val="32"/>
        </w:rPr>
      </w:pPr>
      <w:r>
        <w:rPr>
          <w:rFonts w:hint="eastAsia" w:eastAsia="仿宋_GB2312"/>
          <w:sz w:val="32"/>
        </w:rPr>
        <w:t>固废需严格管理，及时清运。一般固体废物贮存应满足防渗漏、防雨淋、防扬尘等环境保护相关要求；危险废物贮存、运输、处置应</w:t>
      </w:r>
      <w:r>
        <w:rPr>
          <w:rFonts w:hint="eastAsia" w:eastAsia="仿宋_GB2312"/>
          <w:sz w:val="32"/>
          <w:lang w:val="en-US" w:eastAsia="zh-CN"/>
        </w:rPr>
        <w:t>满足</w:t>
      </w:r>
      <w:r>
        <w:rPr>
          <w:rFonts w:hint="eastAsia" w:eastAsia="仿宋_GB2312"/>
          <w:sz w:val="32"/>
        </w:rPr>
        <w:t>《危险废物贮存污染控制标准》（GB18579-2023）要求。</w:t>
      </w:r>
    </w:p>
    <w:bookmarkEnd w:id="0"/>
    <w:p w14:paraId="6F64068B">
      <w:pPr>
        <w:widowControl/>
        <w:spacing w:line="560" w:lineRule="exact"/>
        <w:ind w:firstLine="640" w:firstLineChars="200"/>
        <w:jc w:val="left"/>
        <w:rPr>
          <w:rFonts w:eastAsia="仿宋_GB2312"/>
          <w:sz w:val="32"/>
        </w:rPr>
      </w:pPr>
      <w:r>
        <w:rPr>
          <w:rFonts w:hint="eastAsia" w:eastAsia="仿宋_GB2312"/>
          <w:sz w:val="32"/>
        </w:rPr>
        <w:t>（五）本项目污染物</w:t>
      </w:r>
      <w:r>
        <w:rPr>
          <w:rFonts w:hint="eastAsia" w:eastAsia="仿宋_GB2312"/>
          <w:sz w:val="32"/>
          <w:lang w:val="en-US" w:eastAsia="zh-CN"/>
        </w:rPr>
        <w:t>排放</w:t>
      </w:r>
      <w:r>
        <w:rPr>
          <w:rFonts w:hint="eastAsia" w:eastAsia="仿宋_GB2312"/>
          <w:sz w:val="32"/>
        </w:rPr>
        <w:t>总量指标应满足：CODcr（管理指标）≤1.34t/a，氨氮（管理指标）≤0.13t/a，颗粒物≤8.88t/a，SO</w:t>
      </w:r>
      <w:r>
        <w:rPr>
          <w:rFonts w:hint="eastAsia" w:eastAsia="仿宋_GB2312"/>
          <w:sz w:val="32"/>
          <w:vertAlign w:val="subscript"/>
        </w:rPr>
        <w:t>2</w:t>
      </w:r>
      <w:r>
        <w:rPr>
          <w:rFonts w:hint="eastAsia" w:eastAsia="仿宋_GB2312"/>
          <w:sz w:val="32"/>
        </w:rPr>
        <w:t>≤18.36t/a，NOx≤33.05t/a，VOCs≤0.39t/a。</w:t>
      </w:r>
    </w:p>
    <w:p w14:paraId="6CDE4115">
      <w:pPr>
        <w:widowControl/>
        <w:spacing w:line="560" w:lineRule="exact"/>
        <w:ind w:firstLine="640" w:firstLineChars="200"/>
        <w:jc w:val="left"/>
        <w:rPr>
          <w:rFonts w:eastAsia="仿宋_GB2312"/>
          <w:sz w:val="32"/>
          <w:szCs w:val="32"/>
        </w:rPr>
      </w:pPr>
      <w:r>
        <w:rPr>
          <w:rFonts w:hint="eastAsia" w:eastAsia="仿宋_GB2312"/>
          <w:sz w:val="32"/>
        </w:rPr>
        <w:t>（六）加强监管，健全环境管理制度。按规定设置规范的污染物排放口和固体废物堆存场，并设立标志牌。按照要求安装在线监测设施，完善覆盖常规污染物、特征污染物的环境监测体系，落实环境监测计划并公开。严格落实排污许可制度，建设单位必须按期持证排污，依法开展自行监测和定期报告制度，并对企业的基本信息及监测数据等进行公开。</w:t>
      </w:r>
    </w:p>
    <w:p w14:paraId="4CB0699B">
      <w:pPr>
        <w:spacing w:line="540" w:lineRule="exact"/>
        <w:ind w:firstLine="640" w:firstLineChars="200"/>
        <w:rPr>
          <w:rFonts w:eastAsia="仿宋_GB2312"/>
          <w:sz w:val="32"/>
        </w:rPr>
      </w:pPr>
      <w:r>
        <w:rPr>
          <w:rFonts w:hint="eastAsia" w:eastAsia="仿宋_GB2312"/>
          <w:sz w:val="32"/>
        </w:rPr>
        <w:t>（七）加强环境风险防范。建设单位应加强管理，定期对生产装置、管道、仓库等进行检查，按照相关规范对化学品的贮存、使用等进行严格管理；完善三级防控体系，设置事故池</w:t>
      </w:r>
      <w:r>
        <w:rPr>
          <w:rFonts w:hint="eastAsia" w:eastAsia="仿宋" w:cs="仿宋"/>
          <w:kern w:val="0"/>
          <w:sz w:val="32"/>
          <w:szCs w:val="32"/>
        </w:rPr>
        <w:t>（500m</w:t>
      </w:r>
      <w:r>
        <w:rPr>
          <w:rFonts w:hint="eastAsia" w:eastAsia="仿宋" w:cs="仿宋"/>
          <w:kern w:val="0"/>
          <w:sz w:val="32"/>
          <w:szCs w:val="32"/>
          <w:vertAlign w:val="superscript"/>
        </w:rPr>
        <w:t>3</w:t>
      </w:r>
      <w:r>
        <w:rPr>
          <w:rFonts w:hint="eastAsia" w:eastAsia="仿宋" w:cs="仿宋"/>
          <w:kern w:val="0"/>
          <w:sz w:val="32"/>
          <w:szCs w:val="32"/>
        </w:rPr>
        <w:t>）</w:t>
      </w:r>
      <w:r>
        <w:rPr>
          <w:rFonts w:hint="eastAsia" w:eastAsia="仿宋_GB2312"/>
          <w:sz w:val="32"/>
        </w:rPr>
        <w:t>等；制定完善的应急预案，并与园区风险预案实现联动。一旦发生事故，建设单位应立即启动应急预案，采取有效防护措施，最大限度减轻污染危害。</w:t>
      </w:r>
    </w:p>
    <w:p w14:paraId="3E1C35B1">
      <w:pPr>
        <w:widowControl/>
        <w:spacing w:line="560" w:lineRule="exact"/>
        <w:ind w:firstLine="640" w:firstLineChars="200"/>
        <w:jc w:val="left"/>
        <w:rPr>
          <w:rFonts w:eastAsia="仿宋_GB2312"/>
          <w:sz w:val="32"/>
        </w:rPr>
      </w:pPr>
      <w:r>
        <w:rPr>
          <w:rFonts w:hint="eastAsia" w:eastAsia="仿宋_GB2312"/>
          <w:sz w:val="32"/>
        </w:rPr>
        <w:t>（八）加强涉环保设施的安全生产管理。严格落实涉环保设施安全的“三同时”有关要求，委托有资质的设计单位进行正规设计；对涉环保设施相关岗位人员进行操作规程、风险管控、应急处置、典型事故警示等专项安全培训，开展环保设备安全风险辨识评估，系统排查隐患，依法建立隐患整改台账，及时消除隐患，认真落实相关技术标准规范。</w:t>
      </w:r>
    </w:p>
    <w:p w14:paraId="1F1FBD8B">
      <w:pPr>
        <w:widowControl/>
        <w:spacing w:line="560" w:lineRule="exact"/>
        <w:ind w:firstLine="640" w:firstLineChars="200"/>
        <w:jc w:val="left"/>
        <w:rPr>
          <w:rFonts w:eastAsia="仿宋_GB2312"/>
          <w:sz w:val="32"/>
        </w:rPr>
      </w:pPr>
      <w:r>
        <w:rPr>
          <w:rFonts w:hint="eastAsia" w:eastAsia="仿宋_GB2312"/>
          <w:sz w:val="32"/>
        </w:rPr>
        <w:t>（九）加强施工期环境管理。在施工期间应按照各项环保措施进行施工，同时加强施工人员管理工作，并合理安排工期和施工时段。在施工招标文件、施工合同和工程监理招标文件中明确环保条款和责任。</w:t>
      </w:r>
    </w:p>
    <w:p w14:paraId="40F78350">
      <w:pPr>
        <w:widowControl/>
        <w:spacing w:line="560" w:lineRule="exact"/>
        <w:ind w:firstLine="640" w:firstLineChars="200"/>
        <w:jc w:val="left"/>
        <w:rPr>
          <w:rFonts w:eastAsia="仿宋_GB2312"/>
          <w:sz w:val="32"/>
        </w:rPr>
      </w:pPr>
      <w:r>
        <w:rPr>
          <w:rFonts w:hint="eastAsia" w:eastAsia="仿宋_GB2312"/>
          <w:sz w:val="32"/>
        </w:rPr>
        <w:t>（十）强化环境信息公开与公众参与机制。按照《建设项目环境影响评价信息公开机制方案》要求，落实建设项目环评信息公开主体责任，在工程开工前、建设过程中、建成和投入生产或使用后，及时公开相关环境信息。加强与周围公众的沟通，及时解决公众提出的环境问题，满足公众合理的环境诉求。</w:t>
      </w:r>
    </w:p>
    <w:p w14:paraId="2735374F">
      <w:pPr>
        <w:widowControl/>
        <w:spacing w:line="560" w:lineRule="exact"/>
        <w:ind w:firstLine="640" w:firstLineChars="200"/>
        <w:jc w:val="left"/>
        <w:rPr>
          <w:rFonts w:eastAsia="仿宋_GB2312"/>
          <w:sz w:val="32"/>
        </w:rPr>
      </w:pPr>
      <w:r>
        <w:rPr>
          <w:rFonts w:hint="eastAsia" w:eastAsia="仿宋_GB2312"/>
          <w:sz w:val="32"/>
        </w:rPr>
        <w:t>三、严格执行配套建设的环境保护设施与主体工程同时设计、同时施工、同时投入使用的“三同时”制度。项目投产前须按规定程序申领排污许可证；竣工后，进行竣工环境保护验收。</w:t>
      </w:r>
    </w:p>
    <w:p w14:paraId="0B4C2DFB">
      <w:pPr>
        <w:widowControl/>
        <w:spacing w:line="560" w:lineRule="exact"/>
        <w:ind w:firstLine="640" w:firstLineChars="200"/>
        <w:jc w:val="left"/>
        <w:rPr>
          <w:rFonts w:eastAsia="仿宋_GB2312"/>
          <w:sz w:val="32"/>
        </w:rPr>
      </w:pPr>
      <w:r>
        <w:rPr>
          <w:rFonts w:hint="eastAsia" w:eastAsia="仿宋_GB2312"/>
          <w:sz w:val="32"/>
        </w:rPr>
        <w:t>四、建设项目的环境影响报告书经批准后，若该建设项目的性质、规模、地点、生产工艺或者环境保护措施等发生重大变动，应重新报批该项目环境影响报告书。</w:t>
      </w:r>
    </w:p>
    <w:p w14:paraId="34C2517A">
      <w:pPr>
        <w:widowControl/>
        <w:spacing w:line="560" w:lineRule="exact"/>
        <w:ind w:firstLine="640" w:firstLineChars="200"/>
        <w:jc w:val="left"/>
        <w:rPr>
          <w:rFonts w:eastAsia="仿宋_GB2312"/>
          <w:sz w:val="32"/>
          <w:szCs w:val="32"/>
        </w:rPr>
      </w:pPr>
      <w:r>
        <w:rPr>
          <w:rFonts w:eastAsia="仿宋_GB2312"/>
          <w:sz w:val="32"/>
        </w:rPr>
        <w:t>本批复自批准之日起超过五年，方决定项目开工建设的，其环境影响评价文件应报我局重新审核。</w:t>
      </w:r>
    </w:p>
    <w:p w14:paraId="20CA542D">
      <w:pPr>
        <w:spacing w:line="540" w:lineRule="exact"/>
        <w:ind w:firstLine="640" w:firstLineChars="200"/>
        <w:rPr>
          <w:rFonts w:eastAsia="仿宋_GB2312"/>
          <w:sz w:val="32"/>
          <w:szCs w:val="32"/>
        </w:rPr>
      </w:pPr>
    </w:p>
    <w:p w14:paraId="15659364">
      <w:pPr>
        <w:spacing w:line="540" w:lineRule="exact"/>
        <w:jc w:val="right"/>
        <w:rPr>
          <w:rFonts w:hint="eastAsia" w:eastAsia="仿宋_GB2312"/>
          <w:sz w:val="32"/>
          <w:szCs w:val="32"/>
        </w:rPr>
      </w:pPr>
    </w:p>
    <w:p w14:paraId="1F8CE93E">
      <w:pPr>
        <w:spacing w:line="540" w:lineRule="exact"/>
        <w:jc w:val="right"/>
        <w:rPr>
          <w:rFonts w:eastAsia="仿宋_GB2312"/>
          <w:sz w:val="32"/>
          <w:szCs w:val="32"/>
        </w:rPr>
      </w:pPr>
      <w:r>
        <w:rPr>
          <w:rFonts w:hint="eastAsia" w:eastAsia="仿宋_GB2312"/>
          <w:sz w:val="32"/>
          <w:szCs w:val="32"/>
        </w:rPr>
        <w:t>济宁市生态环境局梁山县分局</w:t>
      </w:r>
    </w:p>
    <w:p w14:paraId="1C0D8845">
      <w:pPr>
        <w:widowControl/>
        <w:spacing w:line="560" w:lineRule="exact"/>
        <w:ind w:firstLine="640" w:firstLineChars="200"/>
        <w:jc w:val="center"/>
        <w:rPr>
          <w:rFonts w:eastAsia="仿宋_GB2312"/>
          <w:sz w:val="32"/>
        </w:rPr>
      </w:pPr>
      <w:r>
        <w:rPr>
          <w:rFonts w:hint="eastAsia" w:eastAsia="仿宋_GB2312"/>
          <w:sz w:val="32"/>
          <w:lang w:val="en-US" w:eastAsia="zh-CN"/>
        </w:rPr>
        <w:t xml:space="preserve">                       </w:t>
      </w:r>
      <w:r>
        <w:rPr>
          <w:rFonts w:eastAsia="仿宋_GB2312"/>
          <w:sz w:val="32"/>
        </w:rPr>
        <w:t>202</w:t>
      </w:r>
      <w:r>
        <w:rPr>
          <w:rFonts w:hint="eastAsia" w:eastAsia="仿宋_GB2312"/>
          <w:sz w:val="32"/>
        </w:rPr>
        <w:t>4年</w:t>
      </w:r>
      <w:r>
        <w:rPr>
          <w:rFonts w:eastAsia="仿宋_GB2312"/>
          <w:sz w:val="32"/>
        </w:rPr>
        <w:t>10</w:t>
      </w:r>
      <w:r>
        <w:rPr>
          <w:rFonts w:hint="eastAsia" w:eastAsia="仿宋_GB2312"/>
          <w:sz w:val="32"/>
        </w:rPr>
        <w:t>月8日</w:t>
      </w:r>
    </w:p>
    <w:p w14:paraId="1895BB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8C0EF"/>
    <w:multiLevelType w:val="singleLevel"/>
    <w:tmpl w:val="59D8C0EF"/>
    <w:lvl w:ilvl="0" w:tentative="0">
      <w:start w:val="3"/>
      <w:numFmt w:val="chineseCounting"/>
      <w:suff w:val="nothing"/>
      <w:lvlText w:val="（%1）"/>
      <w:lvlJc w:val="left"/>
      <w:rPr>
        <w:rFonts w:hint="eastAsia"/>
      </w:rPr>
    </w:lvl>
  </w:abstractNum>
  <w:abstractNum w:abstractNumId="1">
    <w:nsid w:val="6E26B2D1"/>
    <w:multiLevelType w:val="singleLevel"/>
    <w:tmpl w:val="6E26B2D1"/>
    <w:lvl w:ilvl="0" w:tentative="0">
      <w:start w:val="1"/>
      <w:numFmt w:val="bullet"/>
      <w:pStyle w:val="11"/>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ZGVlZWIwNTM4YTI5NGNhODFkNWZlZTIwMjFlYWMifQ=="/>
  </w:docVars>
  <w:rsids>
    <w:rsidRoot w:val="56354138"/>
    <w:rsid w:val="00333AA1"/>
    <w:rsid w:val="00354F28"/>
    <w:rsid w:val="003E162B"/>
    <w:rsid w:val="005E2F4E"/>
    <w:rsid w:val="006C649B"/>
    <w:rsid w:val="00994C76"/>
    <w:rsid w:val="101D3DCF"/>
    <w:rsid w:val="23C010B4"/>
    <w:rsid w:val="56354138"/>
    <w:rsid w:val="635D10DD"/>
    <w:rsid w:val="64CD1AD5"/>
    <w:rsid w:val="696814A7"/>
    <w:rsid w:val="69804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360" w:lineRule="auto"/>
      <w:ind w:left="420" w:leftChars="200" w:firstLine="420"/>
    </w:pPr>
    <w:rPr>
      <w:sz w:val="21"/>
      <w:szCs w:val="22"/>
    </w:rPr>
  </w:style>
  <w:style w:type="paragraph" w:styleId="3">
    <w:name w:val="Body Text Indent"/>
    <w:basedOn w:val="1"/>
    <w:next w:val="4"/>
    <w:qFormat/>
    <w:uiPriority w:val="0"/>
    <w:pPr>
      <w:ind w:firstLine="720"/>
    </w:pPr>
    <w:rPr>
      <w:rFonts w:eastAsia="仿宋_GB2312"/>
      <w:sz w:val="32"/>
    </w:rPr>
  </w:style>
  <w:style w:type="paragraph" w:customStyle="1" w:styleId="4">
    <w:name w:val="样式 正文文本缩进 + 行距: 1.5 倍行距"/>
    <w:basedOn w:val="5"/>
    <w:next w:val="7"/>
    <w:qFormat/>
    <w:uiPriority w:val="0"/>
    <w:pPr>
      <w:widowControl w:val="0"/>
      <w:spacing w:after="120" w:line="360" w:lineRule="auto"/>
      <w:ind w:left="90" w:leftChars="32" w:firstLine="560" w:firstLineChars="200"/>
    </w:pPr>
    <w:rPr>
      <w:rFonts w:ascii="Calibri" w:hAnsi="Calibri" w:eastAsia="宋体" w:cs="宋体"/>
      <w:sz w:val="21"/>
      <w:szCs w:val="24"/>
    </w:rPr>
  </w:style>
  <w:style w:type="paragraph" w:customStyle="1" w:styleId="5">
    <w:name w:val="正文文本缩进1"/>
    <w:basedOn w:val="6"/>
    <w:next w:val="4"/>
    <w:qFormat/>
    <w:uiPriority w:val="0"/>
    <w:pPr>
      <w:ind w:firstLine="720"/>
    </w:pPr>
    <w:rPr>
      <w:rFonts w:eastAsia="仿宋_GB2312"/>
      <w:sz w:val="32"/>
    </w:rPr>
  </w:style>
  <w:style w:type="paragraph" w:customStyle="1" w:styleId="6">
    <w:name w:val="正文1"/>
    <w:qFormat/>
    <w:uiPriority w:val="0"/>
    <w:pPr>
      <w:jc w:val="both"/>
    </w:pPr>
    <w:rPr>
      <w:rFonts w:ascii="Times New Roman" w:hAnsi="Times New Roman" w:eastAsia="宋体" w:cs="Times New Roman"/>
      <w:kern w:val="2"/>
      <w:sz w:val="21"/>
      <w:szCs w:val="21"/>
      <w:lang w:val="en-US" w:eastAsia="zh-CN" w:bidi="ar-SA"/>
    </w:rPr>
  </w:style>
  <w:style w:type="paragraph" w:styleId="7">
    <w:name w:val="header"/>
    <w:basedOn w:val="1"/>
    <w:next w:val="8"/>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样式5"/>
    <w:basedOn w:val="9"/>
    <w:next w:val="1"/>
    <w:qFormat/>
    <w:uiPriority w:val="0"/>
    <w:pPr>
      <w:ind w:right="-140" w:rightChars="-50" w:firstLine="1653" w:firstLineChars="588"/>
    </w:pPr>
    <w:rPr>
      <w:kern w:val="0"/>
    </w:rPr>
  </w:style>
  <w:style w:type="paragraph" w:customStyle="1" w:styleId="9">
    <w:name w:val="正文11"/>
    <w:basedOn w:val="10"/>
    <w:next w:val="1"/>
    <w:qFormat/>
    <w:uiPriority w:val="0"/>
    <w:rPr>
      <w:szCs w:val="20"/>
    </w:rPr>
  </w:style>
  <w:style w:type="paragraph" w:styleId="10">
    <w:name w:val="Body Text"/>
    <w:basedOn w:val="1"/>
    <w:next w:val="11"/>
    <w:qFormat/>
    <w:uiPriority w:val="0"/>
    <w:pPr>
      <w:jc w:val="center"/>
    </w:pPr>
    <w:rPr>
      <w:rFonts w:ascii="方正小标宋简体" w:hAnsi="Calibri" w:eastAsia="方正小标宋简体"/>
      <w:b/>
      <w:bCs/>
      <w:sz w:val="44"/>
      <w:szCs w:val="28"/>
    </w:rPr>
  </w:style>
  <w:style w:type="paragraph" w:styleId="11">
    <w:name w:val="List Bullet 5"/>
    <w:basedOn w:val="1"/>
    <w:qFormat/>
    <w:uiPriority w:val="0"/>
    <w:pPr>
      <w:numPr>
        <w:ilvl w:val="0"/>
        <w:numId w:val="1"/>
      </w:numPr>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2635</Words>
  <Characters>2942</Characters>
  <Lines>22</Lines>
  <Paragraphs>6</Paragraphs>
  <TotalTime>83</TotalTime>
  <ScaleCrop>false</ScaleCrop>
  <LinksUpToDate>false</LinksUpToDate>
  <CharactersWithSpaces>2961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2024-09-18T07:21:00Z</dcterms:created>
  <dc:creator>三秋</dc:creator>
  <cp:lastModifiedBy>panpan</cp:lastModifiedBy>
  <dcterms:modified xsi:type="dcterms:W3CDTF">2024-10-08T03:26:45Z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8976B60A8BB44DAC99AEEFCA3A8E3FDF_13</vt:lpwstr>
  </property>
</Properties>
</file>