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jc w:val="center"/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梁山县金融发展促进中心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</w:t>
      </w:r>
    </w:p>
    <w:p>
      <w:pPr>
        <w:spacing w:line="590" w:lineRule="exact"/>
        <w:ind w:right="-100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公开工作年度报告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本报告根据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《中华人民共和国政府信息公开条例》（以下简称《条例》）和《中华人民共和国政府信息公开工作年度报告格式》（国办公开办函〔2021〕30号）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及省、市政府信息公开工作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编制。报告由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总体情况、主动公开政府信息情况、收到和处理政府信息公开申请情况、政府信息公开行政复议和行政诉讼情况、存在的主要问题及改进情况、其他需要报告的事项六部分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组成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梁山县人民政府门户网（网址为http://www.liangshan.gov.cn）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查阅或下载。如对本报告有疑问，请与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梁山县金融发展促进中心综合科联系（地址：梁山县忠义路1号政务中心1号楼5012室，联系电话：0537-7321161）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县金融发展促进中心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按照《条例》和省、市政务公开工作要点的要求，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围绕金融服务高质量发展，坚持以公开为常态、不公开为例外，以公开促规范、促落实、促服务。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（一）完善政府信息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紧紧围绕中心工作，突出重点，积极推进政务公开。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2年，更新领导班子成员及工作分工、机构设置及联系方式；按要求公开2021年决算及2022年预算情况。以门户网站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为主阵地发布政务信息，解读金融政策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防范非法集资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不断提高政策知晓率及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社会公众风险防范意识和识别能力。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公开各类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政务信息共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其中部门动态信息4条、财政预决算信息2条、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建议提案办理结果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13条、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金融风险防范信息13条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公示公告信息10条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612765" cy="2296160"/>
            <wp:effectExtent l="5080" t="4445" r="20955" b="23495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依法规范依申请公开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022年梁山金融发展促进中心中心未收到信息公开申请，无收费情况，无行政诉讼一项。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深入推进政府信息规范化管理</w:t>
      </w:r>
    </w:p>
    <w:p>
      <w:pPr>
        <w:pStyle w:val="2"/>
        <w:ind w:firstLine="643" w:firstLineChars="200"/>
        <w:jc w:val="both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健全政府信息发布审查机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制，严格落实三审制，信息均由处室负责人、分管领导、主要领导逐级审核后对外发布。严格落实信息公开保密审查，做到“上网不涉密，涉密不上网”，做好信息保密审查单留存管理。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楷体简体" w:cs="Times New Roman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强化政府信息公开教育及监督保障</w:t>
      </w:r>
    </w:p>
    <w:p>
      <w:pPr>
        <w:spacing w:line="590" w:lineRule="exact"/>
        <w:ind w:right="-100" w:rightChars="-50" w:firstLine="643" w:firstLineChars="200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专人负责做好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政府门户网站信息公开平台内容保障，以内容建设为立足点，增强政府信息公开的规范性、准确性、时效性。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梁山县金融发展促进中心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信息报道和信息公开管理制度》，加强与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政府办等部门的沟通协调，及时完成交办任务，抓实抓细问题整改，定期督查执行情况，有序推进各项信息公开工作。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积极参加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政务公开专题工作推进会暨培训会议，围绕政府信息公开网站、公开程序、规范应用等进行深入探讨，进一步提高了信息公开工作人员的业务水平。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县金融发展促进中心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政务公开存在的主要问题如下：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（一）工作人员专业水平有待提高；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（二）公开形式还不够丰富，公开内容需进一步深化；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针对存在的问题，将采取以下工作措施加以改进：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一是持续加强信息公开队伍建设。采取集中培训、定期培训和按需培训相结合等方式，加大培训力度，提升政务公开工作人员业务能力和素质；二是持续深入推进政务公开标准化规范化工作，统筹组织各科室拓展政府信息公开层面，进一步加强政府信息主动公开工作，优化政府信息公开渠道，丰富政府信息主动公开的内容，加大政策解读力度，不断提升主动公开政府信息的质量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（一）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县金融发展促进中心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收取信息处理费的情况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  <w:t>。</w:t>
      </w:r>
    </w:p>
    <w:p>
      <w:pPr>
        <w:spacing w:line="590" w:lineRule="exact"/>
        <w:ind w:right="-100" w:rightChars="-50" w:firstLine="643" w:firstLineChars="200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（二）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县金融发展促进中心</w:t>
      </w:r>
      <w:r>
        <w:rPr>
          <w:rFonts w:hint="eastAsia" w:eastAsia="方正仿宋简体" w:cs="Times New Roman"/>
          <w:b/>
          <w:sz w:val="32"/>
          <w:szCs w:val="32"/>
          <w:lang w:eastAsia="zh-CN"/>
        </w:rPr>
        <w:t>严格落实政务公开分解表中的各项任务，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成立政务公开工作领导小组，明确责任领导和责任科室，安排专职人员负责政务公开工作，确保政务公开责任到人。及时更新政府信息公开指南相关要素，细化信息公开栏目，丰富政府信息公开内容，加快信息更新速度，确保信息及时、准确和连贯。</w:t>
      </w:r>
    </w:p>
    <w:p>
      <w:pPr>
        <w:spacing w:line="590" w:lineRule="exact"/>
        <w:ind w:right="-100" w:rightChars="-50" w:firstLine="643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rPr>
          <w:rFonts w:hint="eastAsia" w:eastAsia="方正仿宋简体" w:cs="Times New Roman"/>
          <w:b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年，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县金融发展促进中心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共承办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级人大代表建议、政协提案1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件，其中建议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件、提案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件，目前已所提问题均已解决，代表委员满意率均为100%。提案建议内容涉及金融支持实体经济、助推企业对接资本市场、缓解企业融资难融资贵等方面，所提意见建议已吸收采纳并运用至业务工作中。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0" w:rightChars="-50"/>
        <w:jc w:val="center"/>
        <w:textAlignment w:val="auto"/>
        <w:rPr>
          <w:rFonts w:hint="default" w:ascii="Times New Roman" w:hAnsi="Times New Roman" w:eastAsia="方正仿宋简体" w:cs="Times New Roman"/>
          <w:b/>
          <w:sz w:val="32"/>
          <w:szCs w:val="32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55880</wp:posOffset>
            </wp:positionV>
            <wp:extent cx="4572000" cy="2743200"/>
            <wp:effectExtent l="4445" t="4445" r="14605" b="14605"/>
            <wp:wrapSquare wrapText="bothSides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spacing w:line="590" w:lineRule="exact"/>
        <w:ind w:right="-100" w:rightChars="-50" w:firstLine="400" w:firstLineChars="200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278FC87-E97C-406F-9F41-2E259643E1E6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E90373F-F171-48BD-BDEE-C63B45124D64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9B87B36-2468-433B-86F1-570EF120D3E5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CCA1E27-609D-447F-8F11-1F5B4E9486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31F869F-8D55-40A8-9441-09A997EA538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2449195</wp:posOffset>
              </wp:positionH>
              <wp:positionV relativeFrom="paragraph">
                <wp:posOffset>-243840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2.85pt;margin-top:-19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VuO1PZAAAACwEAAA8AAAAAAAAAAQAgAAAAIgAAAGRycy9kb3ducmV2Lnht&#10;bFBLAQIUABQAAAAIAIdO4kAwiRJe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YjRkMjg0OGVjNjA3OGMyNDE0YjRmNWZhNjgzNDUifQ=="/>
  </w:docVars>
  <w:rsids>
    <w:rsidRoot w:val="00000000"/>
    <w:rsid w:val="01E220AF"/>
    <w:rsid w:val="03321D76"/>
    <w:rsid w:val="0956560F"/>
    <w:rsid w:val="09777320"/>
    <w:rsid w:val="0C5D50AB"/>
    <w:rsid w:val="0D8407A6"/>
    <w:rsid w:val="159F4940"/>
    <w:rsid w:val="186F79EE"/>
    <w:rsid w:val="1A4563DB"/>
    <w:rsid w:val="1D0600A4"/>
    <w:rsid w:val="204D5A76"/>
    <w:rsid w:val="20840E5E"/>
    <w:rsid w:val="20B52042"/>
    <w:rsid w:val="330C07F2"/>
    <w:rsid w:val="341E492E"/>
    <w:rsid w:val="35265A58"/>
    <w:rsid w:val="3E86299B"/>
    <w:rsid w:val="3EBC016B"/>
    <w:rsid w:val="41A53138"/>
    <w:rsid w:val="438A53B2"/>
    <w:rsid w:val="4472760D"/>
    <w:rsid w:val="57AC2398"/>
    <w:rsid w:val="59077740"/>
    <w:rsid w:val="5AB547D8"/>
    <w:rsid w:val="5E5861F2"/>
    <w:rsid w:val="5FA82319"/>
    <w:rsid w:val="60B67B33"/>
    <w:rsid w:val="65E31147"/>
    <w:rsid w:val="675039C2"/>
    <w:rsid w:val="68466B73"/>
    <w:rsid w:val="6A8358CF"/>
    <w:rsid w:val="735A6C67"/>
    <w:rsid w:val="758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08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  <a:r>
              <a:rPr lang="en-US" altLang="zh-CN" sz="1400">
                <a:solidFill>
                  <a:sysClr val="windowText" lastClr="000000"/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rPr>
              <a:t>2022</a:t>
            </a:r>
            <a:r>
              <a:rPr altLang="en-US" sz="1400">
                <a:solidFill>
                  <a:sysClr val="windowText" lastClr="000000"/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rPr>
              <a:t>年梁山县金融发展促进中心</a:t>
            </a:r>
            <a:endParaRPr altLang="en-US" sz="1400">
              <a:solidFill>
                <a:sysClr val="windowText" lastClr="000000"/>
              </a:solidFill>
              <a:latin typeface="仿宋_GB2312" panose="02010609030101010101" charset="-122"/>
              <a:ea typeface="仿宋_GB2312" panose="02010609030101010101" charset="-122"/>
              <a:cs typeface="仿宋_GB2312" panose="02010609030101010101" charset="-122"/>
              <a:sym typeface="仿宋_GB2312" panose="02010609030101010101" charset="-122"/>
            </a:endParaRPr>
          </a:p>
          <a:p>
            <a:pPr defTabSz="914400">
              <a:defRPr lang="zh-CN" sz="108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  <a:r>
              <a:rPr altLang="en-US" sz="1400">
                <a:solidFill>
                  <a:sysClr val="windowText" lastClr="000000"/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rPr>
              <a:t>网站信息发布数量统计</a:t>
            </a:r>
            <a:endParaRPr altLang="en-US" sz="1400">
              <a:solidFill>
                <a:sysClr val="windowText" lastClr="000000"/>
              </a:solidFill>
              <a:latin typeface="仿宋_GB2312" panose="02010609030101010101" charset="-122"/>
              <a:ea typeface="仿宋_GB2312" panose="02010609030101010101" charset="-122"/>
              <a:cs typeface="仿宋_GB2312" panose="02010609030101010101" charset="-122"/>
              <a:sym typeface="仿宋_GB2312" panose="02010609030101010101" charset="-122"/>
            </a:endParaRPr>
          </a:p>
        </c:rich>
      </c:tx>
      <c:layout>
        <c:manualLayout>
          <c:xMode val="edge"/>
          <c:yMode val="edge"/>
          <c:x val="0.339393939393939"/>
          <c:y val="0.0277777777777778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>
        <c:manualLayout>
          <c:layoutTarget val="inner"/>
          <c:xMode val="edge"/>
          <c:yMode val="edge"/>
          <c:x val="0.0232007575757576"/>
          <c:y val="0.306944444444444"/>
          <c:w val="0.958333333333333"/>
          <c:h val="0.544212962962963"/>
        </c:manualLayout>
      </c:layout>
      <c:pie3D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lt1"/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[工作簿1]Sheet1!$A$1:$E$1</c:f>
              <c:strCache>
                <c:ptCount val="5"/>
                <c:pt idx="0">
                  <c:v>部门动态信息</c:v>
                </c:pt>
                <c:pt idx="1">
                  <c:v>财政预决算信息</c:v>
                </c:pt>
                <c:pt idx="2">
                  <c:v>建议提案办理结果</c:v>
                </c:pt>
                <c:pt idx="3">
                  <c:v>金融风险防范信息</c:v>
                </c:pt>
                <c:pt idx="4">
                  <c:v>公示公告信息</c:v>
                </c:pt>
              </c:strCache>
            </c:strRef>
          </c:cat>
          <c:val>
            <c:numRef>
              <c:f>[工作簿1]Sheet1!$A$2:$E$2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10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ayout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仿宋_GB2312" panose="02010609030101010101" charset="-122"/>
              <a:ea typeface="仿宋_GB2312" panose="02010609030101010101" charset="-122"/>
              <a:cs typeface="仿宋_GB2312" panose="02010609030101010101" charset="-122"/>
              <a:sym typeface="仿宋_GB2312" panose="02010609030101010101" charset="-122"/>
            </a:defRPr>
          </a:pPr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900">
          <a:latin typeface="仿宋_GB2312" panose="02010609030101010101" charset="-122"/>
          <a:ea typeface="仿宋_GB2312" panose="02010609030101010101" charset="-122"/>
          <a:cs typeface="仿宋_GB2312" panose="02010609030101010101" charset="-122"/>
          <a:sym typeface="仿宋_GB2312" panose="02010609030101010101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80" b="0" i="0" u="none" strike="noStrike" kern="1200" spc="0" baseline="0">
                <a:solidFill>
                  <a:sysClr val="windowText" lastClr="000000"/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  <a:r>
              <a:rPr lang="en-US" altLang="zh-CN" sz="160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仿宋_GB2312" panose="02010609030101010101" charset="-122"/>
              </a:rPr>
              <a:t>2022</a:t>
            </a:r>
            <a:r>
              <a:rPr altLang="en-US" sz="1600">
                <a:solidFill>
                  <a:sysClr val="windowText" lastClr="000000"/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仿宋_GB2312" panose="02010609030101010101" charset="-122"/>
              </a:rPr>
              <a:t>年梁山县金融发展促进中心承担人大建议、政协提案情况</a:t>
            </a:r>
            <a:endParaRPr altLang="en-US" sz="1600">
              <a:solidFill>
                <a:sysClr val="windowText" lastClr="000000"/>
              </a:solidFill>
              <a:latin typeface="方正小标宋简体" panose="03000509000000000000" charset="-122"/>
              <a:ea typeface="方正小标宋简体" panose="03000509000000000000" charset="-122"/>
              <a:cs typeface="方正小标宋简体" panose="03000509000000000000" charset="-122"/>
              <a:sym typeface="仿宋_GB2312" panose="0201060903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仿宋_GB2312" panose="02010609030101010101" charset="-122"/>
                    <a:ea typeface="仿宋_GB2312" panose="02010609030101010101" charset="-122"/>
                    <a:cs typeface="仿宋_GB2312" panose="02010609030101010101" charset="-122"/>
                    <a:sym typeface="仿宋_GB2312" panose="02010609030101010101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[工作簿1]Sheet2!$A$1:$B$1</c:f>
              <c:strCache>
                <c:ptCount val="2"/>
                <c:pt idx="0">
                  <c:v>人大建议</c:v>
                </c:pt>
                <c:pt idx="1">
                  <c:v>政协提案</c:v>
                </c:pt>
              </c:strCache>
            </c:strRef>
          </c:cat>
          <c:val>
            <c:numRef>
              <c:f>[工作簿1]Sheet2!$A$2:$B$2</c:f>
              <c:numCache>
                <c:formatCode>General</c:formatCode>
                <c:ptCount val="2"/>
                <c:pt idx="0">
                  <c:v>3</c:v>
                </c:pt>
                <c:pt idx="1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ysClr val="windowText" lastClr="000000"/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400" b="0" i="0" u="none" strike="noStrike" kern="1200" baseline="0">
                <a:solidFill>
                  <a:sysClr val="windowText" lastClr="000000"/>
                </a:solidFill>
                <a:latin typeface="仿宋_GB2312" panose="02010609030101010101" charset="-122"/>
                <a:ea typeface="仿宋_GB2312" panose="02010609030101010101" charset="-122"/>
                <a:cs typeface="仿宋_GB2312" panose="02010609030101010101" charset="-122"/>
                <a:sym typeface="仿宋_GB2312" panose="02010609030101010101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baseline="0">
              <a:solidFill>
                <a:sysClr val="windowText" lastClr="000000"/>
              </a:solidFill>
              <a:latin typeface="仿宋_GB2312" panose="02010609030101010101" charset="-122"/>
              <a:ea typeface="仿宋_GB2312" panose="02010609030101010101" charset="-122"/>
              <a:cs typeface="仿宋_GB2312" panose="02010609030101010101" charset="-122"/>
              <a:sym typeface="仿宋_GB2312" panose="02010609030101010101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400">
          <a:latin typeface="仿宋_GB2312" panose="02010609030101010101" charset="-122"/>
          <a:ea typeface="仿宋_GB2312" panose="02010609030101010101" charset="-122"/>
          <a:cs typeface="仿宋_GB2312" panose="02010609030101010101" charset="-122"/>
          <a:sym typeface="仿宋_GB2312" panose="0201060903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2448</Words>
  <Characters>2549</Characters>
  <Lines>0</Lines>
  <Paragraphs>0</Paragraphs>
  <TotalTime>14</TotalTime>
  <ScaleCrop>false</ScaleCrop>
  <LinksUpToDate>false</LinksUpToDate>
  <CharactersWithSpaces>2549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2022-01-18T05:40:00Z</dcterms:created>
  <dc:creator>Administrator</dc:creator>
  <cp:lastModifiedBy>小明＆小红</cp:lastModifiedBy>
  <cp:lastPrinted>2022-01-19T07:06:00Z</cp:lastPrinted>
  <dcterms:modified xsi:type="dcterms:W3CDTF">2023-02-13T02:20:35Z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F41CA452AC88440E9FD2172D7B81914D</vt:lpwstr>
  </property>
</Properties>
</file>