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hint="eastAsia" w:ascii="方正小标宋简体" w:eastAsia="方正小标宋简体"/>
          <w:b/>
          <w:color w:val="000000"/>
          <w:sz w:val="44"/>
          <w:szCs w:val="44"/>
          <w:lang w:eastAsia="zh-CN"/>
        </w:rPr>
      </w:pPr>
    </w:p>
    <w:p>
      <w:pPr>
        <w:spacing w:line="590" w:lineRule="exact"/>
        <w:ind w:right="-100"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lang w:eastAsia="zh-CN"/>
        </w:rPr>
        <w:t>梁山县</w:t>
      </w:r>
      <w:r>
        <w:rPr>
          <w:rFonts w:hint="eastAsia" w:ascii="方正小标宋简体" w:eastAsia="方正小标宋简体"/>
          <w:b/>
          <w:color w:val="000000"/>
          <w:sz w:val="44"/>
          <w:szCs w:val="44"/>
          <w:lang w:val="en-US" w:eastAsia="zh-CN"/>
        </w:rPr>
        <w:t>发展和改革</w:t>
      </w:r>
      <w:r>
        <w:rPr>
          <w:rFonts w:hint="eastAsia" w:ascii="方正小标宋简体" w:eastAsia="方正小标宋简体"/>
          <w:b/>
          <w:color w:val="000000"/>
          <w:sz w:val="44"/>
          <w:szCs w:val="44"/>
          <w:lang w:eastAsia="zh-CN"/>
        </w:rPr>
        <w:t>局</w:t>
      </w:r>
      <w:r>
        <w:rPr>
          <w:rFonts w:hint="eastAsia" w:ascii="方正小标宋简体" w:eastAsia="方正小标宋简体"/>
          <w:b/>
          <w:color w:val="000000"/>
          <w:sz w:val="44"/>
          <w:szCs w:val="44"/>
        </w:rPr>
        <w:t>2022年政府信息公开</w:t>
      </w:r>
    </w:p>
    <w:p>
      <w:pPr>
        <w:spacing w:line="590" w:lineRule="exact"/>
        <w:ind w:right="-100" w:rightChars="-50"/>
        <w:jc w:val="center"/>
        <w:outlineLvl w:val="0"/>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pStyle w:val="2"/>
        <w:rPr>
          <w:rFonts w:hint="eastAsia"/>
        </w:rPr>
      </w:pPr>
    </w:p>
    <w:p>
      <w:pPr>
        <w:keepNext w:val="0"/>
        <w:keepLines w:val="0"/>
        <w:pageBreakBefore w:val="0"/>
        <w:numPr>
          <w:ilvl w:val="0"/>
          <w:numId w:val="0"/>
        </w:numPr>
        <w:kinsoku/>
        <w:wordWrap/>
        <w:overflowPunct/>
        <w:topLinePunct w:val="0"/>
        <w:autoSpaceDE/>
        <w:autoSpaceDN/>
        <w:bidi w:val="0"/>
        <w:adjustRightInd/>
        <w:snapToGrid/>
        <w:spacing w:line="620" w:lineRule="exact"/>
        <w:ind w:right="-100" w:rightChars="-5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本报告由梁山县发展和改革局按照《中华人民共和国政府信息公开条例》（以下简称《条例》）和《中华人民共和国政府信息公开年度报告格式》（国办公开办函〔2021〕30号）要求编制。</w:t>
      </w:r>
    </w:p>
    <w:p>
      <w:pPr>
        <w:keepNext w:val="0"/>
        <w:keepLines w:val="0"/>
        <w:pageBreakBefore w:val="0"/>
        <w:numPr>
          <w:ilvl w:val="0"/>
          <w:numId w:val="0"/>
        </w:numPr>
        <w:kinsoku/>
        <w:wordWrap/>
        <w:overflowPunct/>
        <w:topLinePunct w:val="0"/>
        <w:autoSpaceDE/>
        <w:autoSpaceDN/>
        <w:bidi w:val="0"/>
        <w:adjustRightInd/>
        <w:snapToGrid/>
        <w:spacing w:line="620" w:lineRule="exact"/>
        <w:ind w:right="-100" w:rightChars="-5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numPr>
          <w:ilvl w:val="0"/>
          <w:numId w:val="0"/>
        </w:numPr>
        <w:kinsoku/>
        <w:wordWrap/>
        <w:overflowPunct/>
        <w:topLinePunct w:val="0"/>
        <w:autoSpaceDE/>
        <w:autoSpaceDN/>
        <w:bidi w:val="0"/>
        <w:adjustRightInd/>
        <w:snapToGrid/>
        <w:spacing w:line="620" w:lineRule="exact"/>
        <w:ind w:right="-100" w:rightChars="-5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本报告所列数据的统计期限自2022年1月1日起至2022年12月31日止。本报告电子版可在梁山县人民政府门户网（网址为http://www.liangshan.gov.cn)公开，如对本报告有疑问，请与梁山县发展和改革局办公室联系（地址：梁山县忠义路一号主楼2015-1室，联系电话：0537-7321979)</w:t>
      </w:r>
    </w:p>
    <w:p>
      <w:pPr>
        <w:keepNext w:val="0"/>
        <w:keepLines w:val="0"/>
        <w:pageBreakBefore w:val="0"/>
        <w:numPr>
          <w:ilvl w:val="0"/>
          <w:numId w:val="0"/>
        </w:numPr>
        <w:kinsoku/>
        <w:wordWrap/>
        <w:overflowPunct/>
        <w:topLinePunct w:val="0"/>
        <w:autoSpaceDE/>
        <w:autoSpaceDN/>
        <w:bidi w:val="0"/>
        <w:adjustRightInd/>
        <w:snapToGrid/>
        <w:spacing w:line="620" w:lineRule="exact"/>
        <w:ind w:right="-100" w:rightChars="-50" w:firstLine="642" w:firstLineChars="200"/>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一、总体情况</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2022</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梁山县发展和改革局</w:t>
      </w:r>
      <w:r>
        <w:rPr>
          <w:rFonts w:hint="eastAsia" w:ascii="仿宋_GB2312" w:hAnsi="仿宋_GB2312" w:eastAsia="仿宋_GB2312" w:cs="仿宋_GB2312"/>
          <w:b/>
          <w:bCs/>
          <w:sz w:val="32"/>
          <w:szCs w:val="32"/>
        </w:rPr>
        <w:t>认真贯彻落实《中华人民共和国政府信息公开条例》要求，</w:t>
      </w:r>
      <w:r>
        <w:rPr>
          <w:rFonts w:hint="eastAsia" w:ascii="仿宋_GB2312" w:hAnsi="仿宋_GB2312" w:eastAsia="仿宋_GB2312" w:cs="仿宋_GB2312"/>
          <w:b/>
          <w:bCs/>
          <w:sz w:val="32"/>
          <w:szCs w:val="32"/>
          <w:lang w:val="en-US" w:eastAsia="zh-CN"/>
        </w:rPr>
        <w:t>结合发改</w:t>
      </w:r>
      <w:r>
        <w:rPr>
          <w:rFonts w:hint="eastAsia" w:ascii="仿宋_GB2312" w:hAnsi="仿宋_GB2312" w:eastAsia="仿宋_GB2312" w:cs="仿宋_GB2312"/>
          <w:b/>
          <w:bCs/>
          <w:sz w:val="32"/>
          <w:szCs w:val="32"/>
        </w:rPr>
        <w:t>工作实际，推进政府信息公开工作，</w:t>
      </w:r>
      <w:r>
        <w:rPr>
          <w:rFonts w:hint="eastAsia" w:ascii="仿宋_GB2312" w:hAnsi="仿宋_GB2312" w:eastAsia="仿宋_GB2312" w:cs="仿宋_GB2312"/>
          <w:b/>
          <w:bCs/>
          <w:sz w:val="32"/>
          <w:szCs w:val="32"/>
          <w:lang w:val="en-US" w:eastAsia="zh-CN"/>
        </w:rPr>
        <w:t>切实保障</w:t>
      </w:r>
      <w:r>
        <w:rPr>
          <w:rFonts w:hint="eastAsia" w:ascii="仿宋_GB2312" w:hAnsi="仿宋_GB2312" w:eastAsia="仿宋_GB2312" w:cs="仿宋_GB2312"/>
          <w:b/>
          <w:bCs/>
          <w:sz w:val="32"/>
          <w:szCs w:val="32"/>
        </w:rPr>
        <w:t>群众对</w:t>
      </w:r>
      <w:r>
        <w:rPr>
          <w:rFonts w:hint="eastAsia" w:ascii="仿宋_GB2312" w:hAnsi="仿宋_GB2312" w:eastAsia="仿宋_GB2312" w:cs="仿宋_GB2312"/>
          <w:b/>
          <w:bCs/>
          <w:sz w:val="32"/>
          <w:szCs w:val="32"/>
          <w:lang w:val="en-US" w:eastAsia="zh-CN"/>
        </w:rPr>
        <w:t>发改重点</w:t>
      </w:r>
      <w:r>
        <w:rPr>
          <w:rFonts w:hint="eastAsia" w:ascii="仿宋_GB2312" w:hAnsi="仿宋_GB2312" w:eastAsia="仿宋_GB2312" w:cs="仿宋_GB2312"/>
          <w:b/>
          <w:bCs/>
          <w:sz w:val="32"/>
          <w:szCs w:val="32"/>
        </w:rPr>
        <w:t>工作的知情权、参与权、监督权，</w:t>
      </w:r>
      <w:r>
        <w:rPr>
          <w:rFonts w:hint="eastAsia" w:ascii="仿宋_GB2312" w:hAnsi="仿宋_GB2312" w:eastAsia="仿宋_GB2312" w:cs="仿宋_GB2312"/>
          <w:b/>
          <w:bCs/>
          <w:sz w:val="32"/>
          <w:szCs w:val="32"/>
          <w:lang w:val="en-US" w:eastAsia="zh-CN"/>
        </w:rPr>
        <w:t>为建设“经济强县、美丽梁山”贡献发改力量</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（一）主动公开情况</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2022年以来，依托各类平台累计发布信息243条，其中专栏信息126条，主要包括部门动态信息67条、价格和收费政策47条、重大项目建设实施情况12条；公众号及其他各类媒体（网站、报刊、杂志）平台公开信息117条。</w:t>
      </w:r>
    </w:p>
    <w:p>
      <w:pPr>
        <w:pStyle w:val="2"/>
        <w:rPr>
          <w:rFonts w:hint="default"/>
          <w:lang w:val="en-US" w:eastAsia="zh-CN"/>
        </w:rPr>
      </w:pPr>
      <w:r>
        <w:rPr>
          <w:rFonts w:hint="eastAsia" w:eastAsiaTheme="minorEastAsia"/>
          <w:lang w:eastAsia="zh-CN"/>
        </w:rPr>
        <w:drawing>
          <wp:inline distT="0" distB="0" distL="114300" distR="114300">
            <wp:extent cx="5080000" cy="3810000"/>
            <wp:effectExtent l="4445" t="4445" r="20955" b="52705"/>
            <wp:docPr id="2" name="图表 2" descr="7b0a202020202263686172745265734964223a202232303437313237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00" w:leftChars="0" w:firstLine="640" w:firstLineChars="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依申请公开情况</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202</w:t>
      </w: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年，</w:t>
      </w:r>
      <w:r>
        <w:rPr>
          <w:rFonts w:hint="eastAsia" w:ascii="仿宋_GB2312" w:hAnsi="仿宋_GB2312" w:eastAsia="仿宋_GB2312" w:cs="仿宋_GB2312"/>
          <w:b/>
          <w:bCs/>
          <w:sz w:val="32"/>
          <w:szCs w:val="32"/>
          <w:lang w:val="en-US" w:eastAsia="zh-CN"/>
        </w:rPr>
        <w:t>共</w:t>
      </w:r>
      <w:r>
        <w:rPr>
          <w:rFonts w:hint="default" w:ascii="仿宋_GB2312" w:hAnsi="仿宋_GB2312" w:eastAsia="仿宋_GB2312" w:cs="仿宋_GB2312"/>
          <w:b/>
          <w:bCs/>
          <w:sz w:val="32"/>
          <w:szCs w:val="32"/>
          <w:lang w:val="en-US" w:eastAsia="zh-CN"/>
        </w:rPr>
        <w:t>收到</w:t>
      </w:r>
      <w:r>
        <w:rPr>
          <w:rFonts w:hint="eastAsia" w:ascii="仿宋_GB2312" w:hAnsi="仿宋_GB2312" w:eastAsia="仿宋_GB2312" w:cs="仿宋_GB2312"/>
          <w:b/>
          <w:bCs/>
          <w:sz w:val="32"/>
          <w:szCs w:val="32"/>
          <w:lang w:val="en-US" w:eastAsia="zh-CN"/>
        </w:rPr>
        <w:t>1项</w:t>
      </w:r>
      <w:r>
        <w:rPr>
          <w:rFonts w:hint="default" w:ascii="仿宋_GB2312" w:hAnsi="仿宋_GB2312" w:eastAsia="仿宋_GB2312" w:cs="仿宋_GB2312"/>
          <w:b/>
          <w:bCs/>
          <w:sz w:val="32"/>
          <w:szCs w:val="32"/>
          <w:lang w:val="en-US" w:eastAsia="zh-CN"/>
        </w:rPr>
        <w:t>依申请公开事项</w:t>
      </w:r>
      <w:r>
        <w:rPr>
          <w:rFonts w:hint="eastAsia" w:ascii="仿宋_GB2312" w:hAnsi="仿宋_GB2312" w:eastAsia="仿宋_GB2312" w:cs="仿宋_GB2312"/>
          <w:b/>
          <w:bCs/>
          <w:sz w:val="32"/>
          <w:szCs w:val="32"/>
          <w:lang w:val="en-US" w:eastAsia="zh-CN"/>
        </w:rPr>
        <w:t>，涉及项目批复方面，按程序进行回复并公开相应信息，未收取任何费用；</w:t>
      </w:r>
      <w:r>
        <w:rPr>
          <w:rFonts w:hint="default" w:ascii="仿宋_GB2312" w:hAnsi="仿宋_GB2312" w:eastAsia="仿宋_GB2312" w:cs="仿宋_GB2312"/>
          <w:b/>
          <w:bCs/>
          <w:sz w:val="32"/>
          <w:szCs w:val="32"/>
          <w:lang w:val="en-US" w:eastAsia="zh-CN"/>
        </w:rPr>
        <w:t>未发生政府信息公开为由提起的行政复议和行政诉讼。</w:t>
      </w:r>
      <w:r>
        <w:rPr>
          <w:rFonts w:hint="eastAsia" w:ascii="仿宋_GB2312" w:hAnsi="仿宋_GB2312" w:eastAsia="仿宋_GB2312" w:cs="仿宋_GB2312"/>
          <w:b/>
          <w:bCs/>
          <w:sz w:val="32"/>
          <w:szCs w:val="32"/>
          <w:lang w:val="en-US" w:eastAsia="zh-CN"/>
        </w:rPr>
        <w:t>与去年相比，数量没有变化。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（三）政府信息管理情况</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健全完善政府信息公开领导小组，由主要负责同志任组长，分管办公室副局长任副组长，各科室、中心负责人为成员，领导小组办公室设在局办公室，明确专人做好政府信息公开收集、审查和发布工作，努力提升信息发布质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（四）政府信息公开平台建设情况</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充分利用公众号、美篇等各类平台，积极推送工作动态、价格和收费政策、重大项目建设实施情况、重要工作推进情况等信息，让企业和群众了解信息更加简便、快捷。</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监督保障情况</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在局政府信息公开领导小组的统一领导下，对公开情况进行监督检查，进一步强化落实政府信息公开发布、动态调整机制，不断提升工作质效。</w:t>
      </w:r>
    </w:p>
    <w:p>
      <w:pPr>
        <w:spacing w:line="590" w:lineRule="exact"/>
        <w:ind w:right="-100" w:rightChars="-50" w:firstLine="642"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left"/>
              <w:rPr>
                <w:rFonts w:hint="eastAsia" w:ascii="方正仿宋简体" w:hAnsi="Times New Roman" w:eastAsia="方正仿宋简体" w:cs="Times New Roman"/>
                <w:b/>
                <w:sz w:val="24"/>
                <w:szCs w:val="24"/>
                <w:lang w:val="en-US" w:eastAsia="zh-CN" w:bidi="ar-SA"/>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方正仿宋简体" w:hAnsi="Times New Roman" w:eastAsia="方正仿宋简体" w:cs="Times New Roman"/>
                <w:b/>
                <w:sz w:val="24"/>
                <w:szCs w:val="24"/>
                <w:lang w:val="en-US" w:eastAsia="zh-CN" w:bidi="ar-SA"/>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eastAsia" w:ascii="方正仿宋简体" w:hAnsi="Times New Roman" w:eastAsia="方正仿宋简体" w:cs="Times New Roman"/>
                <w:b/>
                <w:sz w:val="24"/>
                <w:szCs w:val="24"/>
                <w:lang w:val="en-US" w:eastAsia="zh-CN" w:bidi="ar-SA"/>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tcMar>
              <w:left w:w="57" w:type="dxa"/>
              <w:right w:w="57" w:type="dxa"/>
            </w:tcMar>
            <w:vAlign w:val="center"/>
          </w:tcPr>
          <w:p>
            <w:pPr>
              <w:spacing w:line="340" w:lineRule="exact"/>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spacing w:before="62" w:beforeLines="10" w:after="62" w:afterLines="10" w:line="600" w:lineRule="exact"/>
        <w:ind w:firstLine="642"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p>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1</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2"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6"/>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91"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61"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2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00"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59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46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63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2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55"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07"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bidi="ar"/>
              </w:rPr>
              <w:t> </w:t>
            </w:r>
            <w:r>
              <w:rPr>
                <w:rFonts w:hint="eastAsia" w:ascii="方正黑体简体" w:hAnsi="宋体" w:eastAsia="方正黑体简体" w:cs="黑体"/>
                <w:sz w:val="21"/>
                <w:szCs w:val="21"/>
                <w:lang w:val="en-US" w:eastAsia="zh-CN" w:bidi="ar"/>
              </w:rPr>
              <w:t>0</w:t>
            </w:r>
          </w:p>
        </w:tc>
        <w:tc>
          <w:tcPr>
            <w:tcW w:w="62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0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9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6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3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2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55"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07" w:type="dxa"/>
            <w:tcMar>
              <w:left w:w="108" w:type="dxa"/>
              <w:right w:w="108" w:type="dxa"/>
            </w:tcMar>
            <w:vAlign w:val="center"/>
          </w:tcPr>
          <w:p>
            <w:pPr>
              <w:spacing w:line="340" w:lineRule="exact"/>
              <w:ind w:left="-40" w:leftChars="-20" w:right="-40" w:rightChars="-20"/>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r>
    </w:tbl>
    <w:p>
      <w:pPr>
        <w:spacing w:line="590" w:lineRule="exact"/>
        <w:ind w:right="-100" w:rightChars="-50" w:firstLine="642"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2022年，县发改局认真贯彻落实《中华人民共和国政府信息公开条例》，在政府信息公开工作方面取得了一定的成绩，但仍存在一些问题和不足，主要是：信息公开的主动性仍需加强，公开的内容和形式有待进一步丰富，对政务公开的宣传力度还不够大。</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下步，县发改局会进一步加强对政府信息公开条例的学习培训，对照要求开展多层次、多样性培训，将信息公开工作落到实处。同时进一步完善公开制度，结合我局工作特点和实际工作要求，进一步完善现有信息公开工作，明确公开范围、公开内容、岗位职责，强化信息公开管理。</w:t>
      </w:r>
    </w:p>
    <w:p>
      <w:pPr>
        <w:spacing w:line="590" w:lineRule="exact"/>
        <w:ind w:right="-100" w:rightChars="-50" w:firstLine="642" w:firstLineChars="200"/>
        <w:rPr>
          <w:rFonts w:hint="eastAsia" w:ascii="黑体" w:hAnsi="黑体" w:eastAsia="黑体" w:cs="黑体"/>
          <w:b/>
          <w:sz w:val="32"/>
          <w:szCs w:val="32"/>
        </w:rPr>
      </w:pPr>
      <w:r>
        <w:rPr>
          <w:rFonts w:hint="eastAsia" w:ascii="方正黑体简体" w:eastAsia="方正黑体简体"/>
          <w:b/>
          <w:sz w:val="32"/>
          <w:szCs w:val="32"/>
        </w:rPr>
        <w:t>六、其他需要报告的事项</w:t>
      </w:r>
    </w:p>
    <w:p>
      <w:pPr>
        <w:keepNext w:val="0"/>
        <w:keepLines w:val="0"/>
        <w:pageBreakBefore w:val="0"/>
        <w:numPr>
          <w:ilvl w:val="0"/>
          <w:numId w:val="0"/>
        </w:numPr>
        <w:kinsoku/>
        <w:wordWrap/>
        <w:overflowPunct/>
        <w:topLinePunct w:val="0"/>
        <w:autoSpaceDE/>
        <w:autoSpaceDN/>
        <w:bidi w:val="0"/>
        <w:adjustRightInd/>
        <w:snapToGrid/>
        <w:spacing w:line="580" w:lineRule="exact"/>
        <w:ind w:right="-100" w:rightChars="-50" w:firstLine="598" w:firstLineChars="200"/>
        <w:rPr>
          <w:rFonts w:hint="eastAsia" w:ascii="仿宋_GB2312" w:hAnsi="仿宋_GB2312" w:eastAsia="仿宋_GB2312" w:cs="仿宋_GB2312"/>
          <w:b/>
          <w:spacing w:val="-11"/>
          <w:kern w:val="0"/>
          <w:sz w:val="32"/>
          <w:szCs w:val="32"/>
          <w:lang w:val="en-US" w:eastAsia="zh-CN" w:bidi="ar-SA"/>
        </w:rPr>
      </w:pPr>
      <w:r>
        <w:rPr>
          <w:rFonts w:hint="eastAsia" w:ascii="仿宋_GB2312" w:hAnsi="仿宋_GB2312" w:eastAsia="仿宋_GB2312" w:cs="仿宋_GB2312"/>
          <w:b/>
          <w:spacing w:val="-11"/>
          <w:kern w:val="0"/>
          <w:sz w:val="32"/>
          <w:szCs w:val="32"/>
          <w:lang w:val="en-US" w:eastAsia="zh-CN" w:bidi="ar-SA"/>
        </w:rPr>
        <w:t>（一）依据《政府信息公开信息处理费管理办法》规定，我局2022年未收取相关费用。</w:t>
      </w:r>
    </w:p>
    <w:p>
      <w:pPr>
        <w:keepNext w:val="0"/>
        <w:keepLines w:val="0"/>
        <w:pageBreakBefore w:val="0"/>
        <w:numPr>
          <w:ilvl w:val="0"/>
          <w:numId w:val="0"/>
        </w:numPr>
        <w:kinsoku/>
        <w:wordWrap/>
        <w:overflowPunct/>
        <w:topLinePunct w:val="0"/>
        <w:autoSpaceDE/>
        <w:autoSpaceDN/>
        <w:bidi w:val="0"/>
        <w:adjustRightInd/>
        <w:snapToGrid/>
        <w:spacing w:line="580" w:lineRule="exact"/>
        <w:ind w:right="-100" w:rightChars="-50" w:firstLine="598" w:firstLineChars="200"/>
        <w:rPr>
          <w:rFonts w:hint="eastAsia" w:ascii="仿宋_GB2312" w:hAnsi="仿宋_GB2312" w:eastAsia="仿宋_GB2312" w:cs="仿宋_GB2312"/>
          <w:b/>
          <w:spacing w:val="-11"/>
          <w:kern w:val="0"/>
          <w:sz w:val="32"/>
          <w:szCs w:val="32"/>
          <w:lang w:val="en-US" w:eastAsia="zh-CN" w:bidi="ar-SA"/>
        </w:rPr>
      </w:pPr>
      <w:r>
        <w:rPr>
          <w:rFonts w:hint="eastAsia" w:ascii="仿宋_GB2312" w:hAnsi="仿宋_GB2312" w:eastAsia="仿宋_GB2312" w:cs="仿宋_GB2312"/>
          <w:b/>
          <w:spacing w:val="-11"/>
          <w:kern w:val="0"/>
          <w:sz w:val="32"/>
          <w:szCs w:val="32"/>
          <w:lang w:val="en-US" w:eastAsia="zh-CN" w:bidi="ar-SA"/>
        </w:rPr>
        <w:t>（二）本行政机关落实上级年度政务公开工作要点情况；主动公开：机构职能、权责清单、财政预决算信息、行政执法公示、政府采购、部门动态、建议提案办理等栏目。</w:t>
      </w:r>
    </w:p>
    <w:p>
      <w:pPr>
        <w:keepNext w:val="0"/>
        <w:keepLines w:val="0"/>
        <w:pageBreakBefore w:val="0"/>
        <w:numPr>
          <w:ilvl w:val="0"/>
          <w:numId w:val="0"/>
        </w:numPr>
        <w:kinsoku/>
        <w:wordWrap/>
        <w:overflowPunct/>
        <w:topLinePunct w:val="0"/>
        <w:autoSpaceDE/>
        <w:autoSpaceDN/>
        <w:bidi w:val="0"/>
        <w:adjustRightInd/>
        <w:snapToGrid/>
        <w:spacing w:line="580" w:lineRule="exact"/>
        <w:ind w:right="-100" w:rightChars="-50" w:firstLine="598" w:firstLineChars="200"/>
        <w:rPr>
          <w:rFonts w:hint="eastAsia" w:ascii="仿宋_GB2312" w:hAnsi="仿宋_GB2312" w:eastAsia="仿宋_GB2312" w:cs="仿宋_GB2312"/>
          <w:b/>
          <w:spacing w:val="-11"/>
          <w:kern w:val="0"/>
          <w:sz w:val="32"/>
          <w:szCs w:val="32"/>
          <w:lang w:val="en-US" w:eastAsia="zh-CN" w:bidi="ar-SA"/>
        </w:rPr>
      </w:pPr>
      <w:r>
        <w:rPr>
          <w:rFonts w:hint="eastAsia" w:ascii="仿宋_GB2312" w:hAnsi="仿宋_GB2312" w:eastAsia="仿宋_GB2312" w:cs="仿宋_GB2312"/>
          <w:b/>
          <w:spacing w:val="-11"/>
          <w:kern w:val="0"/>
          <w:sz w:val="32"/>
          <w:szCs w:val="32"/>
          <w:lang w:val="en-US" w:eastAsia="zh-CN" w:bidi="ar-SA"/>
        </w:rPr>
        <w:t>（三）梁山县发</w:t>
      </w:r>
      <w:r>
        <w:rPr>
          <w:rFonts w:hint="default" w:ascii="仿宋_GB2312" w:hAnsi="仿宋_GB2312" w:eastAsia="仿宋_GB2312" w:cs="仿宋_GB2312"/>
          <w:b/>
          <w:spacing w:val="-11"/>
          <w:kern w:val="0"/>
          <w:sz w:val="32"/>
          <w:szCs w:val="32"/>
          <w:lang w:val="en-US" w:eastAsia="zh-CN" w:bidi="ar-SA"/>
        </w:rPr>
        <w:t>展</w:t>
      </w:r>
      <w:r>
        <w:rPr>
          <w:rFonts w:hint="eastAsia" w:ascii="仿宋_GB2312" w:hAnsi="仿宋_GB2312" w:eastAsia="仿宋_GB2312" w:cs="仿宋_GB2312"/>
          <w:b/>
          <w:spacing w:val="-11"/>
          <w:kern w:val="0"/>
          <w:sz w:val="32"/>
          <w:szCs w:val="32"/>
          <w:lang w:val="en-US" w:eastAsia="zh-CN" w:bidi="ar-SA"/>
        </w:rPr>
        <w:t>和改革局无年度政务公开工作创新情况。</w:t>
      </w:r>
    </w:p>
    <w:p>
      <w:pPr>
        <w:keepNext w:val="0"/>
        <w:keepLines w:val="0"/>
        <w:pageBreakBefore w:val="0"/>
        <w:numPr>
          <w:ilvl w:val="0"/>
          <w:numId w:val="0"/>
        </w:numPr>
        <w:kinsoku/>
        <w:wordWrap/>
        <w:overflowPunct/>
        <w:topLinePunct w:val="0"/>
        <w:autoSpaceDE/>
        <w:autoSpaceDN/>
        <w:bidi w:val="0"/>
        <w:adjustRightInd/>
        <w:snapToGrid/>
        <w:spacing w:line="580" w:lineRule="exact"/>
        <w:ind w:right="-100" w:rightChars="-50" w:firstLine="598" w:firstLineChars="200"/>
        <w:rPr>
          <w:rFonts w:hint="eastAsia" w:ascii="仿宋_GB2312" w:hAnsi="仿宋_GB2312" w:eastAsia="仿宋_GB2312" w:cs="仿宋_GB2312"/>
          <w:b/>
          <w:spacing w:val="-11"/>
          <w:kern w:val="0"/>
          <w:sz w:val="32"/>
          <w:szCs w:val="32"/>
          <w:lang w:val="en-US" w:eastAsia="zh-CN" w:bidi="ar-SA"/>
        </w:rPr>
      </w:pPr>
      <w:r>
        <w:rPr>
          <w:rFonts w:hint="eastAsia" w:ascii="仿宋_GB2312" w:hAnsi="仿宋_GB2312" w:eastAsia="仿宋_GB2312" w:cs="仿宋_GB2312"/>
          <w:b/>
          <w:spacing w:val="-11"/>
          <w:kern w:val="0"/>
          <w:sz w:val="32"/>
          <w:szCs w:val="32"/>
          <w:lang w:val="en-US" w:eastAsia="zh-CN" w:bidi="ar-SA"/>
        </w:rPr>
        <w:t>（四）梁山县发</w:t>
      </w:r>
      <w:r>
        <w:rPr>
          <w:rFonts w:hint="default" w:ascii="仿宋_GB2312" w:hAnsi="仿宋_GB2312" w:eastAsia="仿宋_GB2312" w:cs="仿宋_GB2312"/>
          <w:b/>
          <w:spacing w:val="-11"/>
          <w:kern w:val="0"/>
          <w:sz w:val="32"/>
          <w:szCs w:val="32"/>
          <w:lang w:val="en-US" w:eastAsia="zh-CN" w:bidi="ar-SA"/>
        </w:rPr>
        <w:t>展</w:t>
      </w:r>
      <w:r>
        <w:rPr>
          <w:rFonts w:hint="eastAsia" w:ascii="仿宋_GB2312" w:hAnsi="仿宋_GB2312" w:eastAsia="仿宋_GB2312" w:cs="仿宋_GB2312"/>
          <w:b/>
          <w:spacing w:val="-11"/>
          <w:kern w:val="0"/>
          <w:sz w:val="32"/>
          <w:szCs w:val="32"/>
          <w:lang w:val="en-US" w:eastAsia="zh-CN" w:bidi="ar-SA"/>
        </w:rPr>
        <w:t>和改革局无政府信息公开工作年度报告数据统计需要说明的事项。</w:t>
      </w:r>
    </w:p>
    <w:p>
      <w:pPr>
        <w:keepNext w:val="0"/>
        <w:keepLines w:val="0"/>
        <w:pageBreakBefore w:val="0"/>
        <w:numPr>
          <w:ilvl w:val="0"/>
          <w:numId w:val="0"/>
        </w:numPr>
        <w:kinsoku/>
        <w:wordWrap/>
        <w:overflowPunct/>
        <w:topLinePunct w:val="0"/>
        <w:autoSpaceDE/>
        <w:autoSpaceDN/>
        <w:bidi w:val="0"/>
        <w:adjustRightInd/>
        <w:snapToGrid/>
        <w:spacing w:line="580" w:lineRule="exact"/>
        <w:ind w:right="-100" w:rightChars="-50" w:firstLine="598" w:firstLineChars="200"/>
        <w:rPr>
          <w:rFonts w:hint="eastAsia" w:ascii="仿宋_GB2312" w:hAnsi="仿宋_GB2312" w:eastAsia="仿宋_GB2312" w:cs="仿宋_GB2312"/>
          <w:b/>
          <w:spacing w:val="-11"/>
          <w:kern w:val="0"/>
          <w:sz w:val="32"/>
          <w:szCs w:val="32"/>
          <w:lang w:val="en-US" w:eastAsia="zh-CN" w:bidi="ar-SA"/>
        </w:rPr>
      </w:pPr>
      <w:r>
        <w:rPr>
          <w:rFonts w:hint="eastAsia" w:ascii="仿宋_GB2312" w:hAnsi="仿宋_GB2312" w:eastAsia="仿宋_GB2312" w:cs="仿宋_GB2312"/>
          <w:b/>
          <w:spacing w:val="-11"/>
          <w:kern w:val="0"/>
          <w:sz w:val="32"/>
          <w:szCs w:val="32"/>
          <w:lang w:val="en-US" w:eastAsia="zh-CN" w:bidi="ar-SA"/>
        </w:rPr>
        <w:t>（五）梁山县发</w:t>
      </w:r>
      <w:r>
        <w:rPr>
          <w:rFonts w:hint="default" w:ascii="仿宋_GB2312" w:hAnsi="仿宋_GB2312" w:eastAsia="仿宋_GB2312" w:cs="仿宋_GB2312"/>
          <w:b/>
          <w:spacing w:val="-11"/>
          <w:kern w:val="0"/>
          <w:sz w:val="32"/>
          <w:szCs w:val="32"/>
          <w:lang w:val="en-US" w:eastAsia="zh-CN" w:bidi="ar-SA"/>
        </w:rPr>
        <w:t>展</w:t>
      </w:r>
      <w:bookmarkStart w:id="0" w:name="_GoBack"/>
      <w:bookmarkEnd w:id="0"/>
      <w:r>
        <w:rPr>
          <w:rFonts w:hint="eastAsia" w:ascii="仿宋_GB2312" w:hAnsi="仿宋_GB2312" w:eastAsia="仿宋_GB2312" w:cs="仿宋_GB2312"/>
          <w:b/>
          <w:spacing w:val="-11"/>
          <w:kern w:val="0"/>
          <w:sz w:val="32"/>
          <w:szCs w:val="32"/>
          <w:lang w:val="en-US" w:eastAsia="zh-CN" w:bidi="ar-SA"/>
        </w:rPr>
        <w:t>和改革局无认为需要报告的其他事项。</w:t>
      </w:r>
    </w:p>
    <w:p>
      <w:pPr>
        <w:keepNext w:val="0"/>
        <w:keepLines w:val="0"/>
        <w:pageBreakBefore w:val="0"/>
        <w:numPr>
          <w:ilvl w:val="0"/>
          <w:numId w:val="0"/>
        </w:numPr>
        <w:kinsoku/>
        <w:wordWrap/>
        <w:overflowPunct/>
        <w:topLinePunct w:val="0"/>
        <w:autoSpaceDE/>
        <w:autoSpaceDN/>
        <w:bidi w:val="0"/>
        <w:adjustRightInd/>
        <w:snapToGrid/>
        <w:spacing w:line="580" w:lineRule="exact"/>
        <w:ind w:right="-100" w:rightChars="-50" w:firstLine="598" w:firstLineChars="200"/>
        <w:rPr>
          <w:rFonts w:hint="eastAsia"/>
          <w:lang w:val="en-US" w:eastAsia="zh-CN"/>
        </w:rPr>
      </w:pPr>
      <w:r>
        <w:rPr>
          <w:rFonts w:hint="eastAsia" w:ascii="仿宋_GB2312" w:hAnsi="仿宋_GB2312" w:eastAsia="仿宋_GB2312" w:cs="仿宋_GB2312"/>
          <w:b/>
          <w:spacing w:val="-11"/>
          <w:kern w:val="0"/>
          <w:sz w:val="32"/>
          <w:szCs w:val="32"/>
          <w:lang w:val="en-US" w:eastAsia="zh-CN" w:bidi="ar-SA"/>
        </w:rPr>
        <w:t>（六）无其他有关文件专门要求通过政府信息公开工作年度报告予以报告的事项。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145DB"/>
    <w:multiLevelType w:val="singleLevel"/>
    <w:tmpl w:val="D3F145DB"/>
    <w:lvl w:ilvl="0" w:tentative="0">
      <w:start w:val="5"/>
      <w:numFmt w:val="chineseCounting"/>
      <w:suff w:val="nothing"/>
      <w:lvlText w:val="（%1）"/>
      <w:lvlJc w:val="left"/>
      <w:rPr>
        <w:rFonts w:hint="eastAsia"/>
      </w:rPr>
    </w:lvl>
  </w:abstractNum>
  <w:abstractNum w:abstractNumId="1">
    <w:nsid w:val="2CDFF2D8"/>
    <w:multiLevelType w:val="singleLevel"/>
    <w:tmpl w:val="2CDFF2D8"/>
    <w:lvl w:ilvl="0" w:tentative="0">
      <w:start w:val="2"/>
      <w:numFmt w:val="chineseCounting"/>
      <w:suff w:val="nothing"/>
      <w:lvlText w:val="（%1）"/>
      <w:lvlJc w:val="left"/>
      <w:pPr>
        <w:ind w:left="2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YzgwMTNkMjkwOGYxNDE5MzIzMjg2ZjI1YWE2MDAifQ=="/>
  </w:docVars>
  <w:rsids>
    <w:rsidRoot w:val="4EFA1E01"/>
    <w:rsid w:val="05A772D4"/>
    <w:rsid w:val="0D1D7174"/>
    <w:rsid w:val="1CBB3069"/>
    <w:rsid w:val="1D232A04"/>
    <w:rsid w:val="25E940BF"/>
    <w:rsid w:val="2C79237C"/>
    <w:rsid w:val="2FDB6217"/>
    <w:rsid w:val="30A04ED9"/>
    <w:rsid w:val="311D7312"/>
    <w:rsid w:val="31540F86"/>
    <w:rsid w:val="31FC4B17"/>
    <w:rsid w:val="34B07E6E"/>
    <w:rsid w:val="3CB533E3"/>
    <w:rsid w:val="4057711B"/>
    <w:rsid w:val="45790B64"/>
    <w:rsid w:val="46C11F64"/>
    <w:rsid w:val="47B6609F"/>
    <w:rsid w:val="4ACA1E61"/>
    <w:rsid w:val="4C7F2DE8"/>
    <w:rsid w:val="4EFA1E01"/>
    <w:rsid w:val="500951DA"/>
    <w:rsid w:val="5ABC3575"/>
    <w:rsid w:val="5C9F314E"/>
    <w:rsid w:val="5D3F5DB4"/>
    <w:rsid w:val="68E86BFA"/>
    <w:rsid w:val="6B7D28AC"/>
    <w:rsid w:val="6DFB5D0A"/>
    <w:rsid w:val="72F922F4"/>
    <w:rsid w:val="75DC6B41"/>
    <w:rsid w:val="765B3171"/>
    <w:rsid w:val="78340239"/>
    <w:rsid w:val="7AD86450"/>
    <w:rsid w:val="7E413C0D"/>
    <w:rsid w:val="DF7FF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rPr>
      <w:rFonts w:ascii="Times New Roman" w:hAnsi="Times New Roman" w:eastAsia="仿宋_GB2312"/>
      <w:kern w:val="2"/>
      <w:sz w:val="32"/>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2"/>
    <w:basedOn w:val="1"/>
    <w:next w:val="1"/>
    <w:qFormat/>
    <w:uiPriority w:val="0"/>
    <w:pPr>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公开信息</a:t>
            </a:r>
          </a:p>
        </c:rich>
      </c:tx>
      <c:layout/>
      <c:overlay val="0"/>
      <c:spPr>
        <a:noFill/>
        <a:ln>
          <a:noFill/>
        </a:ln>
        <a:effectLst/>
      </c:spPr>
    </c:title>
    <c:autoTitleDeleted val="0"/>
    <c:plotArea>
      <c:layout>
        <c:manualLayout>
          <c:layoutTarget val="inner"/>
          <c:xMode val="edge"/>
          <c:yMode val="edge"/>
          <c:x val="0.292519954048521"/>
          <c:y val="0.170011025358324"/>
          <c:w val="0.414960091902957"/>
          <c:h val="0.700262311650128"/>
        </c:manualLayout>
      </c:layout>
      <c:pieChart>
        <c:varyColors val="1"/>
        <c:ser>
          <c:idx val="0"/>
          <c:order val="0"/>
          <c:tx>
            <c:strRef>
              <c:f>Sheet1!$B$1</c:f>
              <c:strCache>
                <c:ptCount val="1"/>
                <c:pt idx="0">
                  <c:v>公开信息</c:v>
                </c:pt>
              </c:strCache>
            </c:strRef>
          </c:tx>
          <c:spPr>
            <a:solidFill>
              <a:srgbClr val="F3A2A8"/>
            </a:solidFill>
            <a:ln w="41275">
              <a:solidFill>
                <a:schemeClr val="bg1"/>
              </a:solidFill>
            </a:ln>
            <a:effectLst/>
          </c:spPr>
          <c:explosion val="0"/>
          <c:dPt>
            <c:idx val="0"/>
            <c:bubble3D val="0"/>
            <c:spPr>
              <a:solidFill>
                <a:srgbClr val="EF858F"/>
              </a:solidFill>
              <a:ln w="41275">
                <a:solidFill>
                  <a:schemeClr val="bg1"/>
                </a:solidFill>
              </a:ln>
              <a:effectLst/>
            </c:spPr>
          </c:dPt>
          <c:dPt>
            <c:idx val="1"/>
            <c:bubble3D val="0"/>
            <c:spPr>
              <a:solidFill>
                <a:srgbClr val="F0A839"/>
              </a:solidFill>
              <a:ln w="41275">
                <a:solidFill>
                  <a:schemeClr val="bg1"/>
                </a:solidFill>
              </a:ln>
              <a:effectLst/>
            </c:spPr>
          </c:dPt>
          <c:dPt>
            <c:idx val="2"/>
            <c:bubble3D val="0"/>
            <c:spPr>
              <a:solidFill>
                <a:srgbClr val="F7C959"/>
              </a:solidFill>
              <a:ln w="41275">
                <a:solidFill>
                  <a:schemeClr val="bg1"/>
                </a:solidFill>
              </a:ln>
              <a:effectLst/>
            </c:spPr>
          </c:dPt>
          <c:dPt>
            <c:idx val="3"/>
            <c:bubble3D val="0"/>
            <c:spPr>
              <a:solidFill>
                <a:srgbClr val="6EBEFD"/>
              </a:solidFill>
              <a:ln w="41275">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部门动态信息</c:v>
                </c:pt>
                <c:pt idx="1">
                  <c:v>价格和收费政策</c:v>
                </c:pt>
                <c:pt idx="2">
                  <c:v>重大项目建设实施情况</c:v>
                </c:pt>
                <c:pt idx="3">
                  <c:v>公众号及其他各类媒体</c:v>
                </c:pt>
              </c:strCache>
            </c:strRef>
          </c:cat>
          <c:val>
            <c:numRef>
              <c:f>Sheet1!$B$2:$B$5</c:f>
              <c:numCache>
                <c:formatCode>General</c:formatCode>
                <c:ptCount val="4"/>
                <c:pt idx="0">
                  <c:v>67</c:v>
                </c:pt>
                <c:pt idx="1">
                  <c:v>47</c:v>
                </c:pt>
                <c:pt idx="2">
                  <c:v>12</c:v>
                </c:pt>
                <c:pt idx="3">
                  <c:v>117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3175" cap="flat" cmpd="sng" algn="ctr">
      <a:solidFill>
        <a:schemeClr val="bg1">
          <a:lumMod val="9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5</Pages>
  <Words>2248</Words>
  <Characters>2350</Characters>
  <Lines>0</Lines>
  <Paragraphs>0</Paragraphs>
  <TotalTime>4</TotalTime>
  <ScaleCrop>false</ScaleCrop>
  <LinksUpToDate>false</LinksUpToDate>
  <CharactersWithSpaces>2532</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2023-01-19T09:19:00Z</dcterms:created>
  <dc:creator>Administrator</dc:creator>
  <cp:lastModifiedBy>user</cp:lastModifiedBy>
  <dcterms:modified xsi:type="dcterms:W3CDTF">2023-10-23T15:58:19Z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25B086F49E234C5BA62791C19194FFFD</vt:lpwstr>
  </property>
</Properties>
</file>