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/>
          <w:b/>
          <w:sz w:val="44"/>
          <w:szCs w:val="44"/>
        </w:rPr>
        <w:t>年梁山县</w:t>
      </w:r>
      <w:r>
        <w:rPr>
          <w:rFonts w:ascii="Times New Roman" w:hAnsi="Times New Roman" w:eastAsia="方正小标宋简体"/>
          <w:b/>
          <w:sz w:val="44"/>
          <w:szCs w:val="44"/>
        </w:rPr>
        <w:t>国民经济和社会发展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统计公报</w:t>
      </w:r>
    </w:p>
    <w:p>
      <w:pPr>
        <w:snapToGrid w:val="0"/>
        <w:spacing w:line="560" w:lineRule="exact"/>
        <w:jc w:val="center"/>
        <w:rPr>
          <w:rFonts w:ascii="方正楷体简体" w:hAnsi="Times New Roman" w:eastAsia="方正楷体简体"/>
          <w:b/>
          <w:color w:val="auto"/>
          <w:spacing w:val="20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pacing w:val="20"/>
          <w:sz w:val="32"/>
          <w:szCs w:val="32"/>
        </w:rPr>
        <w:t>梁山县统计局</w:t>
      </w:r>
    </w:p>
    <w:p>
      <w:pPr>
        <w:snapToGrid w:val="0"/>
        <w:spacing w:line="560" w:lineRule="exact"/>
        <w:jc w:val="center"/>
        <w:rPr>
          <w:rFonts w:ascii="方正楷体简体" w:hAnsi="Times New Roman" w:eastAsia="方正楷体简体"/>
          <w:b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（202</w:t>
      </w:r>
      <w:r>
        <w:rPr>
          <w:rFonts w:hint="eastAsia" w:ascii="方正楷体简体" w:hAnsi="Times New Roman" w:eastAsia="方正楷体简体"/>
          <w:b/>
          <w:sz w:val="32"/>
          <w:szCs w:val="32"/>
          <w:lang w:val="en-US" w:eastAsia="zh-CN"/>
        </w:rPr>
        <w:t>2</w:t>
      </w:r>
      <w:r>
        <w:rPr>
          <w:rFonts w:hint="eastAsia" w:ascii="方正楷体简体" w:hAnsi="Times New Roman" w:eastAsia="方正楷体简体"/>
          <w:b/>
          <w:sz w:val="32"/>
          <w:szCs w:val="32"/>
        </w:rPr>
        <w:t>年</w:t>
      </w:r>
      <w:r>
        <w:rPr>
          <w:rFonts w:hint="eastAsia" w:ascii="方正楷体简体" w:hAnsi="Times New Roman" w:eastAsia="方正楷体简体"/>
          <w:b/>
          <w:sz w:val="32"/>
          <w:szCs w:val="32"/>
          <w:lang w:val="en-US" w:eastAsia="zh-CN"/>
        </w:rPr>
        <w:t>4</w:t>
      </w:r>
      <w:r>
        <w:rPr>
          <w:rFonts w:hint="eastAsia" w:ascii="方正楷体简体" w:hAnsi="Times New Roman" w:eastAsia="方正楷体简体"/>
          <w:b/>
          <w:sz w:val="32"/>
          <w:szCs w:val="32"/>
        </w:rPr>
        <w:t>月</w:t>
      </w:r>
      <w:r>
        <w:rPr>
          <w:rFonts w:hint="eastAsia" w:ascii="方正楷体简体" w:hAnsi="Times New Roman" w:eastAsia="方正楷体简体"/>
          <w:b/>
          <w:sz w:val="32"/>
          <w:szCs w:val="32"/>
          <w:lang w:val="en-US" w:eastAsia="zh-CN"/>
        </w:rPr>
        <w:t>22</w:t>
      </w:r>
      <w:r>
        <w:rPr>
          <w:rFonts w:hint="eastAsia" w:ascii="方正楷体简体" w:hAnsi="Times New Roman" w:eastAsia="方正楷体简体"/>
          <w:b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658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2021年，全县上下坚持以习近平新时代中国特色社会主义思想为指导，大力弘扬伟大建党精神，坚持稳中求进、高质量发展总基调，围绕“六大目标定位”，开展“十四五”工作布局，以科技创新为引领，坚定不移走“工业立县、产业富县、科技兴县、质量强县”之路，落实“六稳”“六保”任务，全年经济运行稳步复苏、稳中加固态势明显，产业发展活力强劲，绿色低碳引领突出，民生福祉更加厚植，高质量发展迈上新台阶，“十四五”实现良好开局。</w:t>
      </w:r>
    </w:p>
    <w:p>
      <w:pPr>
        <w:snapToGrid w:val="0"/>
        <w:spacing w:line="560" w:lineRule="exact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一</w:t>
      </w:r>
      <w:r>
        <w:rPr>
          <w:rFonts w:ascii="黑体" w:hAnsi="黑体" w:eastAsia="黑体"/>
          <w:b/>
          <w:color w:val="auto"/>
          <w:sz w:val="32"/>
          <w:szCs w:val="32"/>
        </w:rPr>
        <w:t>、综合</w:t>
      </w:r>
    </w:p>
    <w:p>
      <w:pPr>
        <w:snapToGrid w:val="0"/>
        <w:spacing w:line="560" w:lineRule="exact"/>
        <w:ind w:firstLine="660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经济发展稳中向好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据初步核算，全县实现地区生产总值268.12亿元，按可比价计算，增长8.9%。分产业看：第一产业增加值66.97亿元，增长8.1%；第二产业增加值93.39亿元，增长11.1%；第三产业增加值107.86亿元，增长7.4%。分行业看：工业增加值83.86亿元，增长13.5%；批发和零售业29.88亿元，增长12.3%；交通运输，仓储和邮政业14.05亿元，增长9.6%；住宿餐饮业4.61亿元，增长16.4%；金融业16.03亿元，下降6.3%；房地产业12.11亿元，增长0.9%。三次产业结构为25.0:34.8:40.2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-16510</wp:posOffset>
            </wp:positionV>
            <wp:extent cx="4895215" cy="2815590"/>
            <wp:effectExtent l="0" t="0" r="635" b="3810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市场主体蓬勃发展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市场主体总量达75623户、同比增长13.6%，注册资本金1160.66亿元、同比增长27.98%。其中私营企业26069户、同比增长12.4%，个体工商户45760户、同比增长14.8%。全年新增“四上”企业169家，其中：规模以上工业企业73家，限额以上批零住餐业企业61家，规模以上服务业企业20家，资质以内建筑和房地产开发经营企业15家。</w:t>
      </w:r>
    </w:p>
    <w:p>
      <w:pPr>
        <w:tabs>
          <w:tab w:val="left" w:pos="820"/>
        </w:tabs>
        <w:snapToGrid w:val="0"/>
        <w:spacing w:line="560" w:lineRule="exact"/>
        <w:ind w:firstLine="643" w:firstLineChars="200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新旧动能加快转换。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全县“四新”投资额占比提升至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65.4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%。高新技术投资同比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下降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23.7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高新技术制造业产值同比下降7.89%，占规模以上工业的比重为45.6%。全县实现规模以上工业营业收入256.54亿元，同比增长24.9%；利润5.22亿元，同比下43.5%。规模以上工业企业资产负债率52.4%，同比增长3.1个百分点；每百元营业收入中的成本91.68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元,同比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减少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2.65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元；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营业收入利润率2.0%。</w:t>
      </w:r>
    </w:p>
    <w:p>
      <w:pPr>
        <w:tabs>
          <w:tab w:val="left" w:pos="820"/>
        </w:tabs>
        <w:snapToGrid w:val="0"/>
        <w:spacing w:line="560" w:lineRule="exact"/>
        <w:ind w:firstLine="643" w:firstLineChars="200"/>
        <w:rPr>
          <w:rFonts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财政金融稳健运行。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全县一般公共预算收入完成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21.82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亿元，同比增长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9.0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%，其中：税收收入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17.23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8.7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%，税收占比79.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%。一般公共预算支出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48.21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亿元，同比增长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17.1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%。截至年底金融机构本外币各项存款余额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517.31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亿元，较年初增加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45.88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亿元；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金融机构本外币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贷款余额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260.8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亿元，较年初增加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48.75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亿元。</w:t>
      </w:r>
    </w:p>
    <w:p>
      <w:pPr>
        <w:pStyle w:val="2"/>
        <w:spacing w:before="0" w:beforeAutospacing="0" w:after="0" w:afterAutospacing="0" w:line="560" w:lineRule="exact"/>
        <w:ind w:firstLine="640"/>
        <w:rPr>
          <w:rFonts w:hint="eastAsia" w:ascii="方正仿宋简体" w:hAnsi="Times New Roman" w:eastAsia="方正仿宋简体"/>
          <w:b/>
          <w:color w:val="auto"/>
          <w:szCs w:val="32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88265</wp:posOffset>
            </wp:positionV>
            <wp:extent cx="4542155" cy="2672715"/>
            <wp:effectExtent l="0" t="0" r="10795" b="13335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楷体简体"/>
          <w:b/>
          <w:color w:val="auto"/>
          <w:szCs w:val="32"/>
        </w:rPr>
        <w:t>民生福祉不断改善。</w:t>
      </w:r>
      <w:r>
        <w:rPr>
          <w:rFonts w:hint="eastAsia" w:ascii="方正仿宋简体" w:hAnsi="Times New Roman" w:eastAsia="方正仿宋简体"/>
          <w:b/>
          <w:color w:val="auto"/>
          <w:szCs w:val="32"/>
        </w:rPr>
        <w:t>全县城乡居民人均可支配收入25997元，同比增长9.7%；人均消费支出16030元，增长9.1%。其中：城镇居民人均可支配收入35307元，同比增长7.9%，人均消费支出21146元，同比增长6.7%；农村居民人均可支配收入19586元，同比增长12.0%，人均消费支出12507元，增长12.0%。</w:t>
      </w:r>
    </w:p>
    <w:p>
      <w:pPr>
        <w:jc w:val="center"/>
        <w:rPr>
          <w:rFonts w:hint="default"/>
        </w:rPr>
      </w:pPr>
      <w:r>
        <w:drawing>
          <wp:inline distT="0" distB="0" distL="114300" distR="114300">
            <wp:extent cx="4817745" cy="2676525"/>
            <wp:effectExtent l="4445" t="4445" r="16510" b="508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napToGrid w:val="0"/>
        <w:spacing w:line="560" w:lineRule="exact"/>
        <w:ind w:firstLine="964" w:firstLineChars="300"/>
        <w:rPr>
          <w:rFonts w:ascii="Times New Roman" w:hAnsi="Times New Roman" w:eastAsia="方正楷体简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二</w:t>
      </w:r>
      <w:r>
        <w:rPr>
          <w:rFonts w:ascii="Times New Roman" w:hAnsi="Times New Roman" w:eastAsia="黑体"/>
          <w:b/>
          <w:sz w:val="32"/>
          <w:szCs w:val="32"/>
        </w:rPr>
        <w:t>、农林牧渔业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农业经济平稳发展。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全县农林牧渔业增加值实现70.11亿元，同比增长17.02%。其中：农业42.01亿元，增长11.97%，林业1.66亿元，增长10.58%，牧业20.14亿元，增长33.88%，渔业3.16亿元，增长4.79%，农林牧渔服务业3.14亿元，增长10.85%。农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业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、林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业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、牧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业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、渔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业及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农林牧渔服务业增加值比例为60:2:29:5:4。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主要农产品产量保持稳定。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年粮食作物播种面积146.86万亩，同比增长0.14%；粮食总产61.6万吨，增长0.16%；单产419.41公斤，与上年基本持平。其中：夏粮33.87万吨，增长1.77%；秋粮27.73万吨，减少1.78%。经济作物面积29.79万亩，减少2.22万亩；蔬菜瓜果面积23.84万亩，减少1.26万亩；棉花产量0.08万吨，下降29.05%；油料产量0.6万吨，下降16.5%。园林水果产量5.24万吨，下降8.23%。肉类总产量8.21万吨，增长7.74%；禽蛋总产量3.7万吨，减少23.87%；奶类总产量3.3万吨，减少11.76%；水产品总产量0.57万吨，与上年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畜牧生产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平稳发展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全县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年末生猪存栏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29.45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万头，同比增长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6.8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%，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肉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猪出栏头数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43.98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万头，同比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48.2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%。年末牛存栏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13.02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万头，同比增长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13.2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%，牛出栏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13.82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万头，同比增长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25.4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%。年末羊存栏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17.11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万只，同比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5.0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%；羊出栏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22.21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万只，同比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增长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4.1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农业生产条件持续改善。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全县农业机械总动力94.78万千瓦，增长2.15%(同期扣除农用运输车动力)。农用大中型拖拉机0.35万台，联合收获机0.35万台、增长2.02%，拖拉机配套农具2.63万台。农作物耕种收综合机械化水平达91.56%，其中：小麦机播率、机收率分别为100%、100%，玉米机播率、机收率分别为100%、90.16%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现代农业提质发展。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全县规模以上农业龙头企业230家，其中市级以上重点企业84家；评定6处市级现代农业示范园区。实施“一村一品”强村富民工程，省级示范村发展到1个，国家级示范村1个，国家级示范乡镇1个。农民专业合作社2975家、家庭农场2610家。深入实施化肥农药零增长行动，新增水肥一体化面积1.13万亩。建设农业标准化生产基地，累计认定省级标准化生产基地9处、认证“三品一标”农产品71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楷体简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三</w:t>
      </w:r>
      <w:r>
        <w:rPr>
          <w:rFonts w:ascii="Times New Roman" w:hAnsi="Times New Roman" w:eastAsia="黑体"/>
          <w:b/>
          <w:sz w:val="32"/>
          <w:szCs w:val="32"/>
        </w:rPr>
        <w:t>、工业和建筑</w:t>
      </w:r>
      <w:r>
        <w:rPr>
          <w:rFonts w:hint="eastAsia" w:ascii="Times New Roman" w:hAnsi="Times New Roman" w:eastAsia="黑体"/>
          <w:b/>
          <w:sz w:val="32"/>
          <w:szCs w:val="32"/>
        </w:rPr>
        <w:t>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工业生产保持稳健。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规模以上工业企业242家。规模以上工业增加值同比增长15.05%。在26个工业大类行业中，有20个行业增加值增长，增长面76.92%。按行业门类分，制造业增长14.5%，实现增加值占规模工业的97.3%，电力、燃气及水的生产和供应业增长44.2%，占比为2.7%。按经济类型分：股份制企业增长14.5%，外商及港澳台商投资企业增长35.6%，其他经济类型企业下降54.5%。按轻重工业分；轻工业增长118.8%，重工业增长1.6%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轻重工业增加值之比为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: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72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建筑行业整体稳定。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全县列统总承包和专业承包的建筑业企业50家，同比增加10家；完成总产值12.6亿元，同比下降19.9%；实现增加值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9.5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亿元，同比下降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  <w:lang w:val="en-US" w:eastAsia="zh-CN"/>
        </w:rPr>
        <w:t>6.3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投资结构持续优化。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固定资产投资（不含农户）同比增长10.9%，其中：第一产业增长156.3%，第二产业下降1.7%，第三产业增长23.8%。三次产业投资结构4.2:53.2:42.6。基础设施投资同比下降1.98%，工业投资下降4.1%，其中：工业技改下降36%，制造业下降2.9%。民间投资增长4.4%。5000万元以上在建项目208个，其中在建亿元以上项目156个。新开工项目89个，其中亿元以上新开工项目58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  <w:lang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172720</wp:posOffset>
            </wp:positionV>
            <wp:extent cx="4935855" cy="2518410"/>
            <wp:effectExtent l="4445" t="4445" r="12700" b="1079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 w:ascii="方正楷体简体" w:hAnsi="Times New Roman" w:eastAsia="方正楷体简体"/>
          <w:b/>
          <w:sz w:val="32"/>
          <w:szCs w:val="32"/>
        </w:rPr>
        <w:t>房地产市场发展平稳。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房地产开发投资完成33.7亿元，同比增长14.9%，其中：住宅投资29亿元，同比增长14.4%。商品房施工面积357.7万平方米，同比增长10.3%，竣工面积59.25万平方米，同比增长225.5%。商品房销售面积85.05万平方米，同比下降10.5%，其中：住宅销售面积81.19万平方米，同比下降3.9%。商品房销售额54.11亿元，同比增长4.4%；其中：住宅销售额50.91亿元，增长12.4%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ascii="Times New Roman" w:hAnsi="Times New Roman" w:eastAsia="方正楷体简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五、国</w:t>
      </w:r>
      <w:r>
        <w:rPr>
          <w:rFonts w:hint="eastAsia" w:ascii="Times New Roman" w:hAnsi="Times New Roman" w:eastAsia="黑体"/>
          <w:b/>
          <w:sz w:val="32"/>
          <w:szCs w:val="32"/>
        </w:rPr>
        <w:t>内外</w:t>
      </w:r>
      <w:r>
        <w:rPr>
          <w:rFonts w:ascii="Times New Roman" w:hAnsi="Times New Roman" w:eastAsia="黑体"/>
          <w:b/>
          <w:sz w:val="32"/>
          <w:szCs w:val="32"/>
        </w:rPr>
        <w:t>贸易</w:t>
      </w:r>
      <w:r>
        <w:rPr>
          <w:rFonts w:hint="eastAsia" w:ascii="Times New Roman" w:hAnsi="Times New Roman" w:eastAsia="黑体"/>
          <w:b/>
          <w:sz w:val="32"/>
          <w:szCs w:val="32"/>
        </w:rPr>
        <w:t>和</w:t>
      </w:r>
      <w:r>
        <w:rPr>
          <w:rFonts w:ascii="Times New Roman" w:hAnsi="Times New Roman" w:eastAsia="黑体"/>
          <w:b/>
          <w:sz w:val="32"/>
          <w:szCs w:val="32"/>
        </w:rPr>
        <w:t>旅游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420" w:firstLineChars="200"/>
        <w:textAlignment w:val="auto"/>
        <w:rPr>
          <w:rFonts w:hint="eastAsia" w:ascii="方正仿宋简体" w:hAnsi="Times New Roman" w:eastAsia="方正仿宋简体"/>
          <w:b/>
          <w:color w:val="auto"/>
          <w:sz w:val="32"/>
          <w:szCs w:val="32"/>
        </w:rPr>
      </w:pPr>
      <w:r>
        <w:rPr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2623820</wp:posOffset>
            </wp:positionV>
            <wp:extent cx="4912995" cy="3096895"/>
            <wp:effectExtent l="4445" t="4445" r="16510" b="22860"/>
            <wp:wrapTopAndBottom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消费市场总体平稳。</w:t>
      </w:r>
      <w:r>
        <w:rPr>
          <w:rFonts w:hint="eastAsia" w:ascii="方正仿宋简体" w:hAnsi="Times New Roman" w:eastAsia="方正仿宋简体"/>
          <w:b/>
          <w:color w:val="auto"/>
          <w:sz w:val="32"/>
          <w:szCs w:val="32"/>
        </w:rPr>
        <w:t>全县社会消费品零售总额132.5亿元，同比增长15.5%。按经营地统计，城镇增长14.2%，乡村增长21.5%。按消费类型统计，商品零售增长14.3%，餐饮收入增长42.2%。粮油、食品类零售额增长1%，服装鞋帽针纺织品类增长32.6%，日用品类增长61.5%，体育娱乐用品类下降51.3%，家用电器和音像器材类增长3.1%，文化办公用品类增长13.8%，汽车类增长8.8%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对外贸易快速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增长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全县进出口完成22.75亿元、增长71.7%，其中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出口22.4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亿元、增长87.23%，进口0.31亿元、下降75.3%。按企业性质分，民营企业出口22.75亿元、增长71.7%；按贸易方式分，一般贸易出口21.8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亿元、增长99.79%，加工贸易出口0.87亿元、下降62%；按商品类别分，纺织服装出口0.1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亿元、下降59.5%，农产品出口0.8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亿元、下降61.66%，机电产品出口4.63亿元、增长63.23%，高新技术产品出口0.0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亿元、下降81%。服务贸易进出口2.6亿元、增长52%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其中出口2.6亿元、增长52%。加工、旅游、建筑、金融等服务贸易占全部服务贸易出口额的33.62%。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</w:rPr>
        <w:t>招商引资增势强劲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全县新设外商投资企业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13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家，其中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制造业企业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家，服务业企业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家。合同外资1.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86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亿美元，同比增长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55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％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合同外资金额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创历史新高。全年实际到位外资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4277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万美元，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同比增长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14.85%。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其中：制造业实际利用外资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1947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万美元，制造业利用外资比重大幅提升，占实际利用外资的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45.52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%；服务业实际利用外资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2330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万美元。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3" w:firstLineChars="200"/>
        <w:textAlignment w:val="auto"/>
        <w:rPr>
          <w:rFonts w:hint="default" w:ascii="方正仿宋简体" w:hAnsi="Times New Roman" w:eastAsia="方正仿宋简体" w:cs="Times New Roman"/>
          <w:b/>
          <w:color w:val="auto"/>
          <w:sz w:val="32"/>
          <w:szCs w:val="32"/>
          <w:lang w:val="en-US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旅游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消费承压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前行。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eastAsia="zh-CN"/>
        </w:rPr>
        <w:t>全县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旅游消费总额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10.36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亿元、同比增长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28.5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%，接待游客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450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万人次、增长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38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%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旅游市场主体质量稳步提升，新增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国家4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A级旅游景区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家、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山东省中小学研学旅行基地1家。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</w:rPr>
        <w:t>旅游品牌创建稳步推进，新增山东省</w:t>
      </w:r>
      <w:r>
        <w:rPr>
          <w:rFonts w:hint="eastAsia" w:ascii="方正仿宋简体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景区化村庄3家，市级乡村旅游重点镇1家，市级3A级景区化村庄1家，市级2A级景区化村庄1家。</w:t>
      </w:r>
    </w:p>
    <w:p>
      <w:pPr>
        <w:widowControl/>
        <w:snapToGrid w:val="0"/>
        <w:spacing w:line="560" w:lineRule="exact"/>
        <w:ind w:firstLine="482" w:firstLineChars="15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六</w:t>
      </w:r>
      <w:r>
        <w:rPr>
          <w:rFonts w:ascii="Times New Roman" w:hAnsi="Times New Roman" w:eastAsia="黑体"/>
          <w:b/>
          <w:sz w:val="32"/>
          <w:szCs w:val="32"/>
        </w:rPr>
        <w:t>、交通运输</w:t>
      </w:r>
      <w:r>
        <w:rPr>
          <w:rFonts w:hint="eastAsia" w:ascii="Times New Roman" w:hAnsi="Times New Roman" w:eastAsia="黑体"/>
          <w:b/>
          <w:sz w:val="32"/>
          <w:szCs w:val="32"/>
        </w:rPr>
        <w:t>和邮电业务</w:t>
      </w:r>
    </w:p>
    <w:p>
      <w:pPr>
        <w:pStyle w:val="10"/>
        <w:widowControl/>
        <w:spacing w:line="560" w:lineRule="exact"/>
        <w:ind w:firstLine="643" w:firstLineChars="200"/>
        <w:jc w:val="both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交通运输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业稳步发展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新建改建公路里程68.64公里，年末公路总里程达2309.86公里，其中高速公路里程52.96公里。董梁高速梁山段监测通车，梁山二环线全线通车。“四好农村路”完成68.64公里。公路旅客营运车辆767辆，其中：班线客车60辆，公交车707辆。</w:t>
      </w:r>
    </w:p>
    <w:p>
      <w:pPr>
        <w:pStyle w:val="10"/>
        <w:widowControl/>
        <w:spacing w:line="560" w:lineRule="exact"/>
        <w:ind w:firstLine="643" w:firstLineChars="200"/>
        <w:jc w:val="both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快递服务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业稳健发展。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全县快递服务企业业务量完成833.76万件、增长49.3%，快递服务企业业务收入完成0.45亿元、增长27.15%。</w:t>
      </w:r>
    </w:p>
    <w:p>
      <w:pPr>
        <w:widowControl/>
        <w:snapToGrid w:val="0"/>
        <w:spacing w:line="560" w:lineRule="exact"/>
        <w:ind w:firstLine="643" w:firstLineChars="200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移动通讯较快发展。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年末固定电话用户3.01万户，其中：移动0.11万户、联通2.8万户、电信0.1万户。年末移动用户72.1万户，其中：移动41.9万户、联通22.7万户、电信7.5万户。年末互联网用户26.2万户，其中：移动9.6万户、联通9.1万户、电信7.5万户。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七</w:t>
      </w:r>
      <w:r>
        <w:rPr>
          <w:rFonts w:ascii="Times New Roman" w:hAnsi="Times New Roman" w:eastAsia="黑体"/>
          <w:b/>
          <w:sz w:val="32"/>
          <w:szCs w:val="32"/>
        </w:rPr>
        <w:t>、</w:t>
      </w:r>
      <w:r>
        <w:rPr>
          <w:rFonts w:ascii="黑体" w:hAnsi="黑体" w:eastAsia="黑体"/>
          <w:b/>
          <w:sz w:val="32"/>
          <w:szCs w:val="32"/>
        </w:rPr>
        <w:t>教</w:t>
      </w:r>
      <w:r>
        <w:rPr>
          <w:rFonts w:ascii="Times New Roman" w:hAnsi="Times New Roman" w:eastAsia="黑体"/>
          <w:b/>
          <w:sz w:val="32"/>
          <w:szCs w:val="32"/>
        </w:rPr>
        <w:t>育、科学技术和文化体育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</w:rPr>
        <w:t>教育事业扎实推进。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各级各类学校198所，在校生133765人。其中：高中学校3处，在校学生11385人；职业中专学校2处，在校学生3554人；特殊教育学校1所，在校残疾儿童190人；初中学校21处，小学168所，九年一贯制学校3所，初中在校生44183人，小学在校生74431人。全年登记注册幼儿园242所，其中：有9处省级示范幼儿园，31处省级一类幼儿园。3-6岁在园幼儿31751人，学前三年毛入园率90.08%，普惠性幼儿园在园幼儿覆盖率91%，公办园在园幼儿占比34.41%。全年累计招引教师495人，中小学在编教师达到6483名。高考本科上线2030人，首次突破2000人大关，重点本科上线434人；中考500分以上人数达1350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</w:rPr>
        <w:t>体育事业稳步发展。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成功举办“奔向十四五”2021年迎新年梁山县环湖长跑赛、职工篮球运动会、济宁市全民健身运动会广场舞梁山预选赛等10场群众体育比赛，组队参加济宁市第十一届全民健身运动会网球、乒乓球、气排球等14个单项比赛。综合体育馆和健身中心免费开放，对城市社区、行政村破损的健身器材陆续进行更换，新成立县级体育协会、俱乐部4家，新培训社会体育指导员50人。继续做好梁山县影视武校和梁山泊武校训练基地训练工作，省级比赛获金牌2枚、银牌5枚、铜牌7枚。承办济宁市第十一届老年人太极拳比赛，承办全省老年中级段位晋升考试，承办济宁市太极拳培训班，全县4个乡镇被命名为“山东省太极拳之乡”，8家单位被命名为“山东省太极拳基地”。全年完成体育彩票销售7952万元，其中电彩销售7484万元，即开销售468万元，其中竞彩销量达到5294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454025</wp:posOffset>
            </wp:positionH>
            <wp:positionV relativeFrom="page">
              <wp:posOffset>5890895</wp:posOffset>
            </wp:positionV>
            <wp:extent cx="4771390" cy="2484120"/>
            <wp:effectExtent l="4445" t="5080" r="5715" b="6350"/>
            <wp:wrapTopAndBottom/>
            <wp:docPr id="5" name="图表 4" descr="7b0a202020202263686172745265734964223a202234373231323635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方正楷体简体" w:hAnsi="Times New Roman" w:eastAsia="方正楷体简体" w:cs="Times New Roman"/>
          <w:b/>
          <w:color w:val="auto"/>
          <w:sz w:val="32"/>
          <w:szCs w:val="32"/>
        </w:rPr>
        <w:t>科技实力不断提升。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入库科技型中小企业93家，国家高新技术企业净增27家，总数达78家。新建省级创新平台8处，新增合作院校5家。完成技术合同登记29项，实现技术交易额3690万元。新增农业科技特派员10名，开展农业科技培训153人。全年与高等院校开展产学研对接活动9次，成功举办第十七届中国（梁山）专用汽车展览会暨济宁市产学研对接、科技成果推介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</w:rPr>
        <w:t>人才支撑明显增强。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全县新增城镇就业2738人、完成市下达任务目标的114.08%。城镇登记失业率为1.8%，比上年末增加0.16百分点，控制在4%以内。引进副教授以上高层次人才8名、重点产业紧缺人才126名，留学人员8名，引进青年人才1830余名；省博士后创新实践基地新增备案3家，引进院士3人，新增高技能人才243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文化事业繁荣发展。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共建有各类群众文艺队伍1100余支。省级文化产业示范园区（基地）累计达1家，A级景区累计达6家。命名文化旅游特色小镇1个、文化旅游融合发展样板村2个。组织群众性文化活动4080余场、送戏下乡2418场，广电扶贫任务全面完成。专业艺术表演团体7个，艺术表演场馆2个，博物馆8个，公共图书馆1个，文化馆1个。全国重点文物保护单位1处，省级文物保护单位10处，市级文物保护单位9处，文物保护机构1个。《金滩银滩》和《红色娘亲之斥敌》在全市第四届新创小戏作品比赛中分别荣获一等奖和二等奖，新创文艺精品歌曲《黄河滩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03" w:firstLineChars="250"/>
        <w:jc w:val="both"/>
        <w:textAlignment w:val="auto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八</w:t>
      </w:r>
      <w:r>
        <w:rPr>
          <w:rFonts w:ascii="Times New Roman" w:hAnsi="Times New Roman" w:eastAsia="黑体"/>
          <w:b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sz w:val="32"/>
          <w:szCs w:val="32"/>
        </w:rPr>
        <w:t>人口、卫生和</w:t>
      </w:r>
      <w:r>
        <w:rPr>
          <w:rFonts w:ascii="Times New Roman" w:hAnsi="Times New Roman" w:eastAsia="黑体"/>
          <w:b/>
          <w:sz w:val="32"/>
          <w:szCs w:val="32"/>
        </w:rPr>
        <w:t>居民生活保障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人口规模总体稳定。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常住人口72.4万人，其中：城镇人口32.49万人，农村人口39.91万人。年末户籍总人口846516人，其中：城镇人口313831人、乡村人口532685人，男性442037人、女性404479人。全年出生人口7547人、出生率8.92‰，死亡人口2758人、死亡率3.26‰，自然增长率5.66‰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卫生事业扎实推进。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2家县级医院、15家乡镇卫生院和社区卫生服务中心与省远程医学中心、市分级诊疗信息平台实现联网。医养健康产业加快发展，建成医养健康产业项目4个、在建项目1个。完成3处薄弱乡镇卫生院和社区卫生服务中心升级改造项目。各类卫生机构817个，其中：医院15个，基层医疗卫生机构782个，专业公共卫生机构18个，其他2个。各类卫生人员5875人，其中卫生技术人员4094人。卫生技术人员每千人口执业（助理）医师2.15人、千人口注册护士2.48人。医疗床位3341张，其中：医院2039张，基层医疗卫生机构1262张，千人口医疗机构床位数4.57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社会服务优质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  <w:lang w:eastAsia="zh-CN"/>
        </w:rPr>
        <w:t>提升</w:t>
      </w: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共设立养老服务机构共18处，其中：13处敬老院，4处民办医养结合老年公寓。全县建有社区养老服务设施72处，其中：示范性社区养老服务中心9处，农村幸福院57处，老年人食堂6处，养老床位数达到5073张。实施“银龄安康”工程，90岁以上老年人高龄津贴全覆盖。城乡低保标准分别提高到每人每月791元、591元。农村特困人员救助供养基本生活标准为每人每月769元；照料护理一档每人每月638元、二档319元、三档191元。保障城市低保362户，682人，投入城市低保资金435.34万元；保障农村低保7498户，14777人，投入农村低保资金6472.87万元；农村特困人员3509人，投入供养资金4108.04万元。投入医疗救助资金2395.23万元，救助住院困难群众14668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社会保障持续完善。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全县参加养老保险53.21万人，医疗保险75.1万人，失业保险4.35万人，工伤保险4.41万人，生育保险3.82万人。全年分配保障性住房套数201套，完成率100%。发放城镇住房保障家庭租赁补贴246户，完成率175.71%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18"/>
        <w:jc w:val="both"/>
        <w:textAlignment w:val="auto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九</w:t>
      </w:r>
      <w:r>
        <w:rPr>
          <w:rFonts w:ascii="Times New Roman" w:hAnsi="Times New Roman" w:eastAsia="黑体"/>
          <w:b/>
          <w:sz w:val="32"/>
          <w:szCs w:val="32"/>
        </w:rPr>
        <w:t>、城乡建设、环境和安全生产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sz w:val="32"/>
          <w:szCs w:val="32"/>
        </w:rPr>
        <w:t>城市建设步伐加快。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主城区、新城区、商务区“三区”协同，精致精美城市整体推进。城市基础设施持续提升。永兴桥、永乐桥、永祥桥建成通车，永盛桥、永通桥、永宁桥正在加速推进。5条市政道路升级改造，新建停车场3处、充电桩500多个，居民出行更加方便；环城水系全线贯通，29公里生态走廊全面建成。城市功能日益完善。全民健身中心完成主体，正在进行装饰装修、设备调试。财富中心、融媒体中心、为民服务中心交付使用，文化中心全面开放。春园二期、运河湿地公园相继完成建设，并向市民开放，城市景致更加靓丽。新城区继续完善城市路网建设，泰山路东延，金线岭路南延，天魁路西延打通3条断头路，应急修复城市排水体系，完善雨水排放管网修复，污水主管网修复11公里。老旧小区加快改造（2021年，对石棉厂家属院、梁盛家园、农机厂家属院、杏园小区4个小区进行改造，惠及920户，26栋楼房，89403平方米。重点改造雨污排水管网、供水管网、外墙节能、光纤入户、管线规整、道路修复、公共照明、物业用房、充电设施及非机动车停车棚等），棚户区改造回迁安置2444户、安置面积31万平方米。城市商品房开发面积357.7万平方米（施工面积）。公园，绿地不断增加，春园、麒麟公园落成开园，公明坊商业街即将投入运营。新增绿化面积74公顷。绿化整治裸露地2000平方米。常住人口城镇化率44.87%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sz w:val="32"/>
          <w:szCs w:val="32"/>
          <w:lang w:val="en-US" w:eastAsia="zh-CN"/>
        </w:rPr>
        <w:t>乡村风貌持续改善。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完成农村厕所改造1.2万户，完成率100%；完成农村危房改造117户、竣工率101.7%。城乡环卫一体化实现镇域全覆盖、行政村覆盖率达100%，垃圾分类设施覆盖</w:t>
      </w:r>
      <w:r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个镇街、行政村覆盖率达</w:t>
      </w:r>
      <w:r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%。获评省级“美丽村居”试点1个。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生态环境持续改善。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全县牢固树立“绿水青山就是金山银山”理念，全年PM2.5、PM10、二氧化硫、二氧化氮平均浓度同比分别下降12.5%、7.5%、7.7%、3.7%。颁发“绿色施工证”31张，重污染应急绿色环保标杆企业5家。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Times New Roman" w:eastAsia="方正楷体简体"/>
          <w:b/>
          <w:color w:val="auto"/>
          <w:sz w:val="32"/>
          <w:szCs w:val="32"/>
        </w:rPr>
        <w:t>安全生产总体稳定。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全县全年共发生各类生产安全事故0起，死亡0人。亿元GDP生产安全事故死亡率0‰。</w:t>
      </w:r>
    </w:p>
    <w:p>
      <w:pPr>
        <w:snapToGrid w:val="0"/>
        <w:spacing w:line="560" w:lineRule="exact"/>
        <w:ind w:firstLine="643" w:firstLineChars="200"/>
        <w:rPr>
          <w:rFonts w:ascii="方正仿宋简体" w:hAnsi="Times New Roman" w:eastAsia="方正仿宋简体"/>
          <w:b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firstLine="562" w:firstLineChars="200"/>
        <w:rPr>
          <w:rFonts w:ascii="Times New Roman" w:hAnsi="Times New Roman"/>
          <w:b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附注: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公报所列各项统计数据均为初步统计数，小数位四舍五入取舍产生的误差未做机械调整。部门指标均为相关单位提供所得，数据以正式出版的《梁山统计年鉴-2021》为准。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公报所列地区生产总值(简称GDP)及各行业增加值按当年价格计算，增长速度按可比价格计算。</w:t>
      </w:r>
    </w:p>
    <w:p>
      <w:pPr>
        <w:snapToGrid w:val="0"/>
        <w:spacing w:line="560" w:lineRule="exact"/>
        <w:ind w:firstLine="643" w:firstLineChars="200"/>
        <w:jc w:val="both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3、因口径调整，《2020年梁山县国民经济和社会发展统计公报》中，全县参加养老保险人数更正为51.69万人。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根据经济社会发展需要，部分指标统计口径有调整。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3" w:firstLineChars="200"/>
        <w:jc w:val="both"/>
        <w:textAlignment w:val="auto"/>
        <w:rPr>
          <w:rFonts w:hint="default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5、全县生育保险人数更正为3.82万人数。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</w:rPr>
      </w:pPr>
    </w:p>
    <w:p>
      <w:pPr>
        <w:pStyle w:val="2"/>
        <w:rPr>
          <w:rFonts w:hint="default"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pStyle w:val="2"/>
        <w:rPr>
          <w:rFonts w:hint="default" w:ascii="Times New Roman" w:hAnsi="Times New Roman"/>
          <w:b/>
          <w:sz w:val="28"/>
          <w:szCs w:val="28"/>
        </w:rPr>
      </w:pPr>
    </w:p>
    <w:p>
      <w:pPr>
        <w:snapToGrid w:val="0"/>
        <w:spacing w:line="560" w:lineRule="exact"/>
      </w:pPr>
    </w:p>
    <w:sectPr>
      <w:footerReference r:id="rId3" w:type="default"/>
      <w:pgSz w:w="11906" w:h="16838"/>
      <w:pgMar w:top="1361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8A7AF"/>
    <w:multiLevelType w:val="singleLevel"/>
    <w:tmpl w:val="18A8A7A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Dg1MWFkZGVlYTVhNzA5ZGExOWRjOWQyMjhkMTAifQ=="/>
  </w:docVars>
  <w:rsids>
    <w:rsidRoot w:val="00CE34DF"/>
    <w:rsid w:val="00014522"/>
    <w:rsid w:val="00095834"/>
    <w:rsid w:val="000B0D63"/>
    <w:rsid w:val="000C4D97"/>
    <w:rsid w:val="00122BCB"/>
    <w:rsid w:val="00130BFA"/>
    <w:rsid w:val="001620F1"/>
    <w:rsid w:val="001C59C1"/>
    <w:rsid w:val="001C6954"/>
    <w:rsid w:val="001C7653"/>
    <w:rsid w:val="002140BB"/>
    <w:rsid w:val="00295C80"/>
    <w:rsid w:val="002A1D64"/>
    <w:rsid w:val="00334276"/>
    <w:rsid w:val="00376329"/>
    <w:rsid w:val="003946F9"/>
    <w:rsid w:val="003B17DA"/>
    <w:rsid w:val="003C02E1"/>
    <w:rsid w:val="003C1ABC"/>
    <w:rsid w:val="003F2DFC"/>
    <w:rsid w:val="004942F7"/>
    <w:rsid w:val="004D176A"/>
    <w:rsid w:val="0051427C"/>
    <w:rsid w:val="005176DE"/>
    <w:rsid w:val="00523E92"/>
    <w:rsid w:val="00551C50"/>
    <w:rsid w:val="00554EEC"/>
    <w:rsid w:val="00585E9E"/>
    <w:rsid w:val="00613DFE"/>
    <w:rsid w:val="0068292D"/>
    <w:rsid w:val="006C20D4"/>
    <w:rsid w:val="006E74DB"/>
    <w:rsid w:val="0074208A"/>
    <w:rsid w:val="007460BC"/>
    <w:rsid w:val="0076081E"/>
    <w:rsid w:val="007C5304"/>
    <w:rsid w:val="007E73DB"/>
    <w:rsid w:val="007F7C4F"/>
    <w:rsid w:val="008C499D"/>
    <w:rsid w:val="008D324E"/>
    <w:rsid w:val="008E57E1"/>
    <w:rsid w:val="008E7E7A"/>
    <w:rsid w:val="008F4905"/>
    <w:rsid w:val="009003AE"/>
    <w:rsid w:val="00923014"/>
    <w:rsid w:val="00924E1C"/>
    <w:rsid w:val="0093012F"/>
    <w:rsid w:val="009437E4"/>
    <w:rsid w:val="0096537B"/>
    <w:rsid w:val="00965B93"/>
    <w:rsid w:val="00994291"/>
    <w:rsid w:val="009B4B9E"/>
    <w:rsid w:val="009B5A07"/>
    <w:rsid w:val="009C2AAC"/>
    <w:rsid w:val="009E1964"/>
    <w:rsid w:val="009E7563"/>
    <w:rsid w:val="009F04EC"/>
    <w:rsid w:val="00A42601"/>
    <w:rsid w:val="00A66286"/>
    <w:rsid w:val="00A70A24"/>
    <w:rsid w:val="00A93181"/>
    <w:rsid w:val="00A96F1E"/>
    <w:rsid w:val="00B10C66"/>
    <w:rsid w:val="00B21649"/>
    <w:rsid w:val="00B25118"/>
    <w:rsid w:val="00B72C3E"/>
    <w:rsid w:val="00B80D23"/>
    <w:rsid w:val="00BA75A0"/>
    <w:rsid w:val="00BB798C"/>
    <w:rsid w:val="00BF2E01"/>
    <w:rsid w:val="00BF4033"/>
    <w:rsid w:val="00C05136"/>
    <w:rsid w:val="00C27040"/>
    <w:rsid w:val="00C33675"/>
    <w:rsid w:val="00C43FAA"/>
    <w:rsid w:val="00C469D6"/>
    <w:rsid w:val="00C750FB"/>
    <w:rsid w:val="00C863D5"/>
    <w:rsid w:val="00C94486"/>
    <w:rsid w:val="00CB3C00"/>
    <w:rsid w:val="00CD59D9"/>
    <w:rsid w:val="00CE34DF"/>
    <w:rsid w:val="00D01298"/>
    <w:rsid w:val="00D35F04"/>
    <w:rsid w:val="00D5692B"/>
    <w:rsid w:val="00D82C8E"/>
    <w:rsid w:val="00D84656"/>
    <w:rsid w:val="00D91160"/>
    <w:rsid w:val="00DD705C"/>
    <w:rsid w:val="00E259FF"/>
    <w:rsid w:val="00E4154E"/>
    <w:rsid w:val="00E46297"/>
    <w:rsid w:val="00E911CE"/>
    <w:rsid w:val="00E95BE5"/>
    <w:rsid w:val="00E977B7"/>
    <w:rsid w:val="00EB5EC8"/>
    <w:rsid w:val="00EB7EB5"/>
    <w:rsid w:val="00F25ECC"/>
    <w:rsid w:val="00F27BAC"/>
    <w:rsid w:val="00F349E9"/>
    <w:rsid w:val="00F40DA6"/>
    <w:rsid w:val="00F76F6B"/>
    <w:rsid w:val="00FB0415"/>
    <w:rsid w:val="00FD79E9"/>
    <w:rsid w:val="00FD7B08"/>
    <w:rsid w:val="0370607A"/>
    <w:rsid w:val="039B6B80"/>
    <w:rsid w:val="041D7C0F"/>
    <w:rsid w:val="042079B9"/>
    <w:rsid w:val="044C5A83"/>
    <w:rsid w:val="04D275F2"/>
    <w:rsid w:val="05925AA9"/>
    <w:rsid w:val="080D2278"/>
    <w:rsid w:val="084110AD"/>
    <w:rsid w:val="0AB30480"/>
    <w:rsid w:val="10E72E9F"/>
    <w:rsid w:val="1218448B"/>
    <w:rsid w:val="126234D7"/>
    <w:rsid w:val="13851004"/>
    <w:rsid w:val="143E4138"/>
    <w:rsid w:val="15322CE8"/>
    <w:rsid w:val="160D633C"/>
    <w:rsid w:val="1792132C"/>
    <w:rsid w:val="17CC57F5"/>
    <w:rsid w:val="19862B82"/>
    <w:rsid w:val="199E7214"/>
    <w:rsid w:val="19DB2CBB"/>
    <w:rsid w:val="1A005110"/>
    <w:rsid w:val="1AA96AB8"/>
    <w:rsid w:val="1C6A698A"/>
    <w:rsid w:val="1C7F201D"/>
    <w:rsid w:val="1CDB2A3C"/>
    <w:rsid w:val="21007556"/>
    <w:rsid w:val="21866849"/>
    <w:rsid w:val="23274BD9"/>
    <w:rsid w:val="233D2D0E"/>
    <w:rsid w:val="245B622E"/>
    <w:rsid w:val="269D0C56"/>
    <w:rsid w:val="2A895BAD"/>
    <w:rsid w:val="2AAD3FEA"/>
    <w:rsid w:val="2AD92619"/>
    <w:rsid w:val="2B430A90"/>
    <w:rsid w:val="2C486A0C"/>
    <w:rsid w:val="2C625FAD"/>
    <w:rsid w:val="2CE163CE"/>
    <w:rsid w:val="2FDD2E9B"/>
    <w:rsid w:val="2FE10218"/>
    <w:rsid w:val="304634DC"/>
    <w:rsid w:val="326D5FC4"/>
    <w:rsid w:val="34BE0457"/>
    <w:rsid w:val="3607058F"/>
    <w:rsid w:val="380507D7"/>
    <w:rsid w:val="388740DC"/>
    <w:rsid w:val="38DD3D72"/>
    <w:rsid w:val="38E726E0"/>
    <w:rsid w:val="38E91E89"/>
    <w:rsid w:val="3A9F3165"/>
    <w:rsid w:val="3AAF52BB"/>
    <w:rsid w:val="3ABD2920"/>
    <w:rsid w:val="3BBE0FE8"/>
    <w:rsid w:val="3C656BC7"/>
    <w:rsid w:val="3DE92DA4"/>
    <w:rsid w:val="3EA52A93"/>
    <w:rsid w:val="3FB9315E"/>
    <w:rsid w:val="43AF4742"/>
    <w:rsid w:val="43C055BB"/>
    <w:rsid w:val="43D61E42"/>
    <w:rsid w:val="45E13EC9"/>
    <w:rsid w:val="48150F23"/>
    <w:rsid w:val="49A208B9"/>
    <w:rsid w:val="4AFB4B33"/>
    <w:rsid w:val="4B28161E"/>
    <w:rsid w:val="4C8308F3"/>
    <w:rsid w:val="4DAA5366"/>
    <w:rsid w:val="4E080EF6"/>
    <w:rsid w:val="4E4A3E23"/>
    <w:rsid w:val="522438B3"/>
    <w:rsid w:val="53886D05"/>
    <w:rsid w:val="562B5929"/>
    <w:rsid w:val="575059FB"/>
    <w:rsid w:val="58817556"/>
    <w:rsid w:val="593D2B35"/>
    <w:rsid w:val="5B89179C"/>
    <w:rsid w:val="5F6C7BBD"/>
    <w:rsid w:val="61BE30A1"/>
    <w:rsid w:val="62A71C79"/>
    <w:rsid w:val="63CF2A13"/>
    <w:rsid w:val="640B731B"/>
    <w:rsid w:val="6493075A"/>
    <w:rsid w:val="64EE4AA1"/>
    <w:rsid w:val="67DA0714"/>
    <w:rsid w:val="67F44048"/>
    <w:rsid w:val="685924A3"/>
    <w:rsid w:val="690F67EE"/>
    <w:rsid w:val="6AD04284"/>
    <w:rsid w:val="6AD76730"/>
    <w:rsid w:val="6B8C4051"/>
    <w:rsid w:val="6C07304E"/>
    <w:rsid w:val="721C3AB4"/>
    <w:rsid w:val="724E5CB3"/>
    <w:rsid w:val="72B7149E"/>
    <w:rsid w:val="732D14F2"/>
    <w:rsid w:val="74397054"/>
    <w:rsid w:val="746672C0"/>
    <w:rsid w:val="76D10539"/>
    <w:rsid w:val="78107F80"/>
    <w:rsid w:val="79AB57D1"/>
    <w:rsid w:val="79E32322"/>
    <w:rsid w:val="7B95154C"/>
    <w:rsid w:val="7C05599C"/>
    <w:rsid w:val="7F022DFF"/>
    <w:rsid w:val="7FE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600" w:lineRule="exact"/>
      <w:outlineLvl w:val="0"/>
    </w:pPr>
    <w:rPr>
      <w:rFonts w:hint="eastAsia" w:eastAsia="黑体"/>
      <w:bCs/>
      <w:kern w:val="44"/>
      <w:sz w:val="32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endnote text"/>
    <w:basedOn w:val="1"/>
    <w:link w:val="21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10">
    <w:name w:val="Normal (Web)"/>
    <w:basedOn w:val="1"/>
    <w:unhideWhenUsed/>
    <w:qFormat/>
    <w:uiPriority w:val="99"/>
    <w:pPr>
      <w:jc w:val="left"/>
    </w:pPr>
    <w:rPr>
      <w:rFonts w:ascii="微软雅黑" w:hAnsi="微软雅黑" w:eastAsia="微软雅黑"/>
      <w:kern w:val="0"/>
      <w:sz w:val="24"/>
    </w:rPr>
  </w:style>
  <w:style w:type="paragraph" w:styleId="11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4">
    <w:name w:val="Strong"/>
    <w:qFormat/>
    <w:uiPriority w:val="22"/>
    <w:rPr>
      <w:rFonts w:hint="default"/>
      <w:b/>
      <w:sz w:val="24"/>
    </w:rPr>
  </w:style>
  <w:style w:type="character" w:customStyle="1" w:styleId="15">
    <w:name w:val="页眉 Char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3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3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11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0">
    <w:name w:val="批注框文本 Char"/>
    <w:basedOn w:val="13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尾注文本 Char"/>
    <w:basedOn w:val="13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脚注文本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emtidy-2"/>
    <w:basedOn w:val="13"/>
    <w:qFormat/>
    <w:uiPriority w:val="0"/>
  </w:style>
  <w:style w:type="character" w:customStyle="1" w:styleId="24">
    <w:name w:val="emtidy-3"/>
    <w:basedOn w:val="13"/>
    <w:qFormat/>
    <w:uiPriority w:val="0"/>
  </w:style>
  <w:style w:type="character" w:customStyle="1" w:styleId="25">
    <w:name w:val="emtidy-4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&#23616;&#26448;&#26009;\&#26448;&#26009;\&#20004;&#20250;&#24425;&#20876;\2012&#32479;&#35745;&#23616;&#25968;&#25454;&#22270;&#34920;\&#26032;&#24314;&#25991;&#20214;&#22841;\01GDP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23616;&#26448;&#26009;\&#26448;&#26009;\&#20004;&#20250;&#24425;&#20876;\2012&#32479;&#35745;&#23616;&#25968;&#25454;&#22270;&#34920;\&#26032;&#24314;&#25991;&#20214;&#22841;\01GDP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3616;&#26448;&#26009;\&#26448;&#26009;\&#20004;&#20250;&#24425;&#20876;\2012&#32479;&#35745;&#23616;&#25968;&#25454;&#22270;&#34920;\&#26032;&#24314;&#25991;&#20214;&#22841;\01GDP.xls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&#23616;&#26448;&#26009;\&#26448;&#26009;\&#20004;&#20250;&#24425;&#20876;\2012&#32479;&#35745;&#23616;&#25968;&#25454;&#22270;&#34920;\&#26032;&#24314;&#25991;&#20214;&#22841;\01GDP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440" b="1">
                <a:solidFill>
                  <a:sysClr val="windowText" lastClr="000000"/>
                </a:solidFill>
              </a:rPr>
              <a:t>居民可支配收入总量及增速</a:t>
            </a:r>
            <a:endParaRPr sz="144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"城镇居民（元）"</c:f>
              <c:strCache>
                <c:ptCount val="1"/>
                <c:pt idx="0">
                  <c:v>城镇居民（元）</c:v>
                </c:pt>
              </c:strCache>
            </c:strRef>
          </c:tx>
          <c:spPr>
            <a:gradFill>
              <a:gsLst>
                <a:gs pos="0">
                  <a:srgbClr val="007BD3"/>
                </a:gs>
                <a:gs pos="100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[01GDP.xls]Sheet1!$A$45:$E$45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[01GDP.xls]Sheet1!$A$46:$E$46</c:f>
              <c:numCache>
                <c:formatCode>General</c:formatCode>
                <c:ptCount val="5"/>
                <c:pt idx="0">
                  <c:v>26735</c:v>
                </c:pt>
                <c:pt idx="1">
                  <c:v>28981</c:v>
                </c:pt>
                <c:pt idx="2">
                  <c:v>31519</c:v>
                </c:pt>
                <c:pt idx="3">
                  <c:v>32722</c:v>
                </c:pt>
                <c:pt idx="4">
                  <c:v>35307</c:v>
                </c:pt>
              </c:numCache>
            </c:numRef>
          </c:val>
        </c:ser>
        <c:ser>
          <c:idx val="2"/>
          <c:order val="2"/>
          <c:tx>
            <c:strRef>
              <c:f>"农村居民（元）"</c:f>
              <c:strCache>
                <c:ptCount val="1"/>
                <c:pt idx="0">
                  <c:v>农村居民（元）</c:v>
                </c:pt>
              </c:strCache>
            </c:strRef>
          </c:tx>
          <c:spPr>
            <a:gradFill>
              <a:gsLst>
                <a:gs pos="0">
                  <a:srgbClr val="FECF40"/>
                </a:gs>
                <a:gs pos="100000">
                  <a:srgbClr val="846C21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[01GDP.xls]Sheet1!$A$45:$E$45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[01GDP.xls]Sheet1!$A$48:$E$48</c:f>
              <c:numCache>
                <c:formatCode>General</c:formatCode>
                <c:ptCount val="5"/>
                <c:pt idx="0">
                  <c:v>13619</c:v>
                </c:pt>
                <c:pt idx="1">
                  <c:v>14886</c:v>
                </c:pt>
                <c:pt idx="2">
                  <c:v>16478</c:v>
                </c:pt>
                <c:pt idx="3">
                  <c:v>17484</c:v>
                </c:pt>
                <c:pt idx="4">
                  <c:v>19586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890801827"/>
        <c:axId val="247816325"/>
      </c:barChart>
      <c:lineChart>
        <c:grouping val="standard"/>
        <c:varyColors val="0"/>
        <c:ser>
          <c:idx val="1"/>
          <c:order val="1"/>
          <c:tx>
            <c:strRef>
              <c:f>"城镇增速（%）"</c:f>
              <c:strCache>
                <c:ptCount val="1"/>
                <c:pt idx="0">
                  <c:v>城镇增速（%）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[01GDP.xls]Sheet1!$A$45:$E$45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[01GDP.xls]Sheet1!$A$47:$E$47</c:f>
              <c:numCache>
                <c:formatCode>General</c:formatCode>
                <c:ptCount val="5"/>
                <c:pt idx="0">
                  <c:v>8.2</c:v>
                </c:pt>
                <c:pt idx="1">
                  <c:v>8.4</c:v>
                </c:pt>
                <c:pt idx="2">
                  <c:v>8.8</c:v>
                </c:pt>
                <c:pt idx="3">
                  <c:v>3.8</c:v>
                </c:pt>
                <c:pt idx="4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"农村增速（%）"</c:f>
              <c:strCache>
                <c:ptCount val="1"/>
                <c:pt idx="0">
                  <c:v>农村增速（%）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[01GDP.xls]Sheet1!$A$45:$E$45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[01GDP.xls]Sheet1!$A$49:$E$49</c:f>
              <c:numCache>
                <c:formatCode>General</c:formatCode>
                <c:ptCount val="5"/>
                <c:pt idx="0">
                  <c:v>9.3</c:v>
                </c:pt>
                <c:pt idx="1">
                  <c:v>9.3</c:v>
                </c:pt>
                <c:pt idx="2">
                  <c:v>10.7</c:v>
                </c:pt>
                <c:pt idx="3">
                  <c:v>6.4</c:v>
                </c:pt>
                <c:pt idx="4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24930206"/>
        <c:axId val="17308632"/>
      </c:lineChart>
      <c:catAx>
        <c:axId val="8249302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7308632"/>
        <c:crosses val="autoZero"/>
        <c:auto val="1"/>
        <c:lblAlgn val="ctr"/>
        <c:lblOffset val="100"/>
        <c:noMultiLvlLbl val="0"/>
      </c:catAx>
      <c:valAx>
        <c:axId val="1730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24930206"/>
        <c:crosses val="autoZero"/>
        <c:crossBetween val="between"/>
      </c:valAx>
      <c:catAx>
        <c:axId val="890801827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47816325"/>
        <c:crosses val="autoZero"/>
        <c:auto val="1"/>
        <c:lblAlgn val="ctr"/>
        <c:lblOffset val="100"/>
        <c:noMultiLvlLbl val="0"/>
      </c:catAx>
      <c:valAx>
        <c:axId val="247816325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9080182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 b="1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8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680" b="1">
                <a:solidFill>
                  <a:sysClr val="windowText" lastClr="000000"/>
                </a:solidFill>
              </a:rPr>
              <a:t>固定资产投资增速（</a:t>
            </a:r>
            <a:r>
              <a:rPr lang="en-US" altLang="zh-CN" sz="1680" b="1">
                <a:solidFill>
                  <a:sysClr val="windowText" lastClr="000000"/>
                </a:solidFill>
              </a:rPr>
              <a:t>%</a:t>
            </a:r>
            <a:r>
              <a:rPr altLang="en-US" sz="1680" b="1">
                <a:solidFill>
                  <a:sysClr val="windowText" lastClr="000000"/>
                </a:solidFill>
              </a:rPr>
              <a:t>）</a:t>
            </a:r>
            <a:endParaRPr altLang="en-US" sz="168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[01GDP.xls]Sheet1!$A$88:$E$88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[01GDP.xls]Sheet1!$A$89:$E$89</c:f>
              <c:numCache>
                <c:formatCode>General</c:formatCode>
                <c:ptCount val="5"/>
                <c:pt idx="0">
                  <c:v>9.1</c:v>
                </c:pt>
                <c:pt idx="1">
                  <c:v>9.3</c:v>
                </c:pt>
                <c:pt idx="2">
                  <c:v>1.8</c:v>
                </c:pt>
                <c:pt idx="3">
                  <c:v>3.9</c:v>
                </c:pt>
                <c:pt idx="4">
                  <c:v>10.9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74440105"/>
        <c:axId val="549947016"/>
      </c:lineChart>
      <c:catAx>
        <c:axId val="17444010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549947016"/>
        <c:crosses val="autoZero"/>
        <c:auto val="1"/>
        <c:lblAlgn val="ctr"/>
        <c:lblOffset val="100"/>
        <c:noMultiLvlLbl val="0"/>
      </c:catAx>
      <c:valAx>
        <c:axId val="549947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17444010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8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sz="1680" b="1">
                <a:solidFill>
                  <a:sysClr val="windowText" lastClr="000000"/>
                </a:solidFill>
              </a:rPr>
              <a:t>社会消费品零售总额总量及增速</a:t>
            </a:r>
            <a:endParaRPr sz="168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46245314721468"/>
          <c:y val="0.02152962887020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49941837921675"/>
          <c:y val="0.0905692207561528"/>
          <c:w val="0.837225333907798"/>
          <c:h val="0.7137694253704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"绝对量（亿元）"</c:f>
              <c:strCache>
                <c:ptCount val="1"/>
                <c:pt idx="0">
                  <c:v>绝对量（亿元）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176602804238467"/>
                  <c:y val="0.03088375039594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02375673107380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[01GDP.xls]Sheet1!$A$107:$E$107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[01GDP.xls]Sheet1!$A$108:$E$108</c:f>
              <c:numCache>
                <c:formatCode>General</c:formatCode>
                <c:ptCount val="5"/>
                <c:pt idx="0">
                  <c:v>114.29</c:v>
                </c:pt>
                <c:pt idx="1">
                  <c:v>125.03</c:v>
                </c:pt>
                <c:pt idx="2">
                  <c:v>125.53</c:v>
                </c:pt>
                <c:pt idx="3">
                  <c:v>114.76</c:v>
                </c:pt>
                <c:pt idx="4">
                  <c:v>132.5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4104262"/>
        <c:axId val="253357233"/>
      </c:barChart>
      <c:lineChart>
        <c:grouping val="standard"/>
        <c:varyColors val="0"/>
        <c:ser>
          <c:idx val="1"/>
          <c:order val="1"/>
          <c:tx>
            <c:strRef>
              <c:f>"增速（%）"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 cmpd="sng">
              <a:solidFill>
                <a:schemeClr val="accent2">
                  <a:lumMod val="50000"/>
                </a:schemeClr>
              </a:solidFill>
              <a:prstDash val="solid"/>
              <a:round/>
            </a:ln>
            <a:effectLst/>
            <a:sp3d contourW="28575"/>
          </c:spPr>
          <c:marker>
            <c:symbol val="none"/>
          </c:marker>
          <c:dLbls>
            <c:dLbl>
              <c:idx val="0"/>
              <c:layout>
                <c:manualLayout>
                  <c:x val="-0.00160548003853152"/>
                  <c:y val="-0.028508077288565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[01GDP.xls]Sheet1!$A$107:$E$107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[01GDP.xls]Sheet1!$A$109:$E$109</c:f>
              <c:numCache>
                <c:formatCode>General</c:formatCode>
                <c:ptCount val="5"/>
                <c:pt idx="0">
                  <c:v>11.8</c:v>
                </c:pt>
                <c:pt idx="1">
                  <c:v>9.4</c:v>
                </c:pt>
                <c:pt idx="2">
                  <c:v>0.4</c:v>
                </c:pt>
                <c:pt idx="3">
                  <c:v>-0.7</c:v>
                </c:pt>
                <c:pt idx="4">
                  <c:v>15.5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564595624"/>
        <c:axId val="916576338"/>
      </c:lineChart>
      <c:catAx>
        <c:axId val="564595624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6576338"/>
        <c:crosses val="autoZero"/>
        <c:auto val="1"/>
        <c:lblAlgn val="ctr"/>
        <c:lblOffset val="100"/>
        <c:noMultiLvlLbl val="0"/>
      </c:catAx>
      <c:valAx>
        <c:axId val="916576338"/>
        <c:scaling>
          <c:orientation val="minMax"/>
          <c:max val="50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64595624"/>
        <c:crosses val="autoZero"/>
        <c:crossBetween val="between"/>
      </c:valAx>
      <c:catAx>
        <c:axId val="50410426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3357233"/>
        <c:crosses val="autoZero"/>
        <c:auto val="1"/>
        <c:lblAlgn val="ctr"/>
        <c:lblOffset val="100"/>
        <c:noMultiLvlLbl val="0"/>
      </c:catAx>
      <c:valAx>
        <c:axId val="253357233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410426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18880445253131"/>
          <c:y val="0.925562242635413"/>
          <c:w val="0.662956223910949"/>
          <c:h val="0.06968641114982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1" i="0" u="none" strike="noStrike" kern="1200" spc="0" baseline="0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sz="1400" b="1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高新技术产业产值占规模工业比重（</a:t>
            </a:r>
            <a:r>
              <a:rPr lang="en-US" altLang="zh-CN" sz="1400" b="1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%</a:t>
            </a:r>
            <a:r>
              <a:rPr altLang="en-US" sz="1400" b="1">
                <a:solidFill>
                  <a:sysClr val="windowText" lastClr="000000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）</a:t>
            </a:r>
            <a:endParaRPr altLang="en-US" sz="1400" b="1">
              <a:solidFill>
                <a:sysClr val="windowText" lastClr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>
        <c:manualLayout>
          <c:xMode val="edge"/>
          <c:yMode val="edge"/>
          <c:x val="0.174774774774775"/>
          <c:y val="0.020061138708444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305682560418"/>
          <c:y val="0.214757709251101"/>
          <c:w val="0.857661659046375"/>
          <c:h val="0.637533039647577"/>
        </c:manualLayout>
      </c:layout>
      <c:areaChart>
        <c:grouping val="standard"/>
        <c:varyColors val="0"/>
        <c:ser>
          <c:idx val="0"/>
          <c:order val="0"/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dLbls>
            <c:dLbl>
              <c:idx val="0"/>
              <c:layout>
                <c:manualLayout>
                  <c:x val="0.0206677265500795"/>
                  <c:y val="-0.1432938479174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794912559618442"/>
                  <c:y val="-0.1920137562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127186009538951"/>
                  <c:y val="-0.2378677875429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4308426073132"/>
                  <c:y val="-0.263660680168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0476947535771065"/>
                  <c:y val="-0.1862820022927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[01GDP.xls]Sheet1!$A$67:$E$67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[01GDP.xls]Sheet1!$A$68:$E$68</c:f>
              <c:numCache>
                <c:formatCode>General</c:formatCode>
                <c:ptCount val="5"/>
                <c:pt idx="0">
                  <c:v>25.59</c:v>
                </c:pt>
                <c:pt idx="1">
                  <c:v>36.78</c:v>
                </c:pt>
                <c:pt idx="2">
                  <c:v>54.67</c:v>
                </c:pt>
                <c:pt idx="3">
                  <c:v>59.33</c:v>
                </c:pt>
                <c:pt idx="4">
                  <c:v>45.6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9560769"/>
        <c:axId val="359008137"/>
      </c:areaChart>
      <c:catAx>
        <c:axId val="919560769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rgbClr val="DEDEDE"/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359008137"/>
        <c:crosses val="autoZero"/>
        <c:auto val="1"/>
        <c:lblAlgn val="ctr"/>
        <c:lblOffset val="100"/>
        <c:noMultiLvlLbl val="0"/>
      </c:catAx>
      <c:valAx>
        <c:axId val="359008137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DEDEDE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200" b="1" i="0" u="none" strike="noStrike" kern="1200" baseline="0">
                <a:solidFill>
                  <a:sysClr val="windowText" lastClr="000000"/>
                </a:solid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91956076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400" b="1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14</Pages>
  <Words>6152</Words>
  <Characters>7484</Characters>
  <Lines>51</Lines>
  <Paragraphs>14</Paragraphs>
  <TotalTime>7</TotalTime>
  <ScaleCrop>false</ScaleCrop>
  <LinksUpToDate>false</LinksUpToDate>
  <CharactersWithSpaces>7484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2021-03-22T07:44:00Z</dcterms:created>
  <dc:creator>统计局收文</dc:creator>
  <cp:lastModifiedBy>a~韩</cp:lastModifiedBy>
  <cp:lastPrinted>2021-03-23T01:58:00Z</cp:lastPrinted>
  <dcterms:modified xsi:type="dcterms:W3CDTF">2023-02-07T00:44:51Z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351905798_btnclosed</vt:lpwstr>
  </property>
  <property fmtid="{D5CDD505-2E9C-101B-9397-08002B2CF9AE}" pid="3" name="KSOProductBuildVer">
    <vt:lpwstr>2052-11.1.0.13703</vt:lpwstr>
  </property>
  <property fmtid="{D5CDD505-2E9C-101B-9397-08002B2CF9AE}" pid="4" name="ICV">
    <vt:lpwstr>004CB1054B2B4ACEB9D449C1C4944284</vt:lpwstr>
  </property>
  <property fmtid="{D5CDD505-2E9C-101B-9397-08002B2CF9AE}" pid="5" name="commondata">
    <vt:lpwstr>eyJoZGlkIjoiMzNiMjFmMGVhNjFiMTFhNzZjNWIxYWRiZTQyYTliNjMifQ==</vt:lpwstr>
  </property>
</Properties>
</file>