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本报告由梁山街道办事处按照《中华人民共和国政府信息公开条例》（以下简称《条例》）和《中华人民共和国政府信息公开工作年度报告格式》（国办公开办函〔2021〕30号）要求编制。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本报告所列数据的统计期限自2022年1月1日起至</w:t>
      </w:r>
      <w:bookmarkStart w:id="0" w:name="_GoBack"/>
      <w:bookmarkEnd w:id="0"/>
      <w:r>
        <w:rPr>
          <w:rFonts w:hint="eastAsia" w:asciiTheme="minorEastAsia" w:hAnsiTheme="minorEastAsia" w:eastAsiaTheme="minorEastAsia" w:cstheme="minorEastAsia"/>
          <w:i w:val="0"/>
          <w:iCs w:val="0"/>
          <w:caps w:val="0"/>
          <w:color w:val="000000"/>
          <w:spacing w:val="0"/>
          <w:sz w:val="24"/>
          <w:szCs w:val="24"/>
        </w:rPr>
        <w:t>2022年12月31日止。本报告电子版可在梁山县人民政府网站查阅或下载。如对本报告有疑问，请与梁山街道办事处联系（地址：人民中路29号，联系电话：0537-7321764）</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一、总体情况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今年以来，梁山街道政务公开工作按照省、市、县关于深入开展政务公开工作的安排意见，坚持以促进依法行政、改进工作作风、增强政府工作透明度为重点，以公开、公正、便民和廉政、勤政为目的，积极探索，大胆实践，扎实推进政务公开工作。</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（一）主动公开情况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2022年1月1日至2022年12月31日我街道共公开各类政务信息 7条。</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（二）依申请公开情况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2022年梁山街道收到政府信息公开申请数0件，无收费情况，无行政诉讼。</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（三）政府信息管理情况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为把信息公开工作落到实处，我街道把此项工作提到重要议事日程，成立了以街道党工委副书记为组长的政务公开领导小组，由街道党政办公室牵头具体负责信息公开的日常工作，明确专人负责政府信息公开工作。</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（四）政府信息公开平台建设情况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街道在为民服务中心设立政务公开专区，方便群众查阅公开信息。</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（五）监督保障情况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梁山街道积极参加县政府组织的政务公开培训，明确专职人员负责政务公开工作。通过强化责任意识，完善监督制度，保证信息公开工作做到及时公开和更新，确保公开的信息完整率和更新率。</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二、主动公开政府信息情况</w:t>
      </w:r>
    </w:p>
    <w:tbl>
      <w:tblPr>
        <w:tblW w:w="8940"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80"/>
        <w:gridCol w:w="2097"/>
        <w:gridCol w:w="2097"/>
        <w:gridCol w:w="23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8940" w:type="dxa"/>
            <w:gridSpan w:val="4"/>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信息内容</w:t>
            </w:r>
          </w:p>
        </w:tc>
        <w:tc>
          <w:tcPr>
            <w:tcW w:w="21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本年制发件数</w:t>
            </w:r>
          </w:p>
        </w:tc>
        <w:tc>
          <w:tcPr>
            <w:tcW w:w="210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本年废止件数</w:t>
            </w:r>
          </w:p>
        </w:tc>
        <w:tc>
          <w:tcPr>
            <w:tcW w:w="2370" w:type="dxa"/>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规章</w:t>
            </w:r>
          </w:p>
        </w:tc>
        <w:tc>
          <w:tcPr>
            <w:tcW w:w="21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21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23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行政规范性文件</w:t>
            </w:r>
          </w:p>
        </w:tc>
        <w:tc>
          <w:tcPr>
            <w:tcW w:w="21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210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237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894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信息内容</w:t>
            </w:r>
          </w:p>
        </w:tc>
        <w:tc>
          <w:tcPr>
            <w:tcW w:w="6555"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行政许可</w:t>
            </w:r>
          </w:p>
        </w:tc>
        <w:tc>
          <w:tcPr>
            <w:tcW w:w="6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894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信息内容</w:t>
            </w:r>
          </w:p>
        </w:tc>
        <w:tc>
          <w:tcPr>
            <w:tcW w:w="6555"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行政处罚</w:t>
            </w:r>
          </w:p>
        </w:tc>
        <w:tc>
          <w:tcPr>
            <w:tcW w:w="6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行政强制</w:t>
            </w:r>
          </w:p>
        </w:tc>
        <w:tc>
          <w:tcPr>
            <w:tcW w:w="6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8940" w:type="dxa"/>
            <w:gridSpan w:val="4"/>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信息内容</w:t>
            </w:r>
          </w:p>
        </w:tc>
        <w:tc>
          <w:tcPr>
            <w:tcW w:w="6555" w:type="dxa"/>
            <w:gridSpan w:val="3"/>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85"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行政事业性收费</w:t>
            </w:r>
          </w:p>
        </w:tc>
        <w:tc>
          <w:tcPr>
            <w:tcW w:w="6555" w:type="dxa"/>
            <w:gridSpan w:val="3"/>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三、收到和处理政府信息公开申请情况</w:t>
      </w:r>
    </w:p>
    <w:tbl>
      <w:tblPr>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95"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自然人</w:t>
            </w:r>
          </w:p>
        </w:tc>
        <w:tc>
          <w:tcPr>
            <w:tcW w:w="2910" w:type="dxa"/>
            <w:gridSpan w:val="5"/>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法人或其他组织</w:t>
            </w:r>
          </w:p>
        </w:tc>
        <w:tc>
          <w:tcPr>
            <w:tcW w:w="525" w:type="dxa"/>
            <w:vMerge w:val="restart"/>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79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企业</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机构</w:t>
            </w:r>
          </w:p>
        </w:tc>
        <w:tc>
          <w:tcPr>
            <w:tcW w:w="600"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社会公益组织</w:t>
            </w:r>
          </w:p>
        </w:tc>
        <w:tc>
          <w:tcPr>
            <w:tcW w:w="570"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法律服务机构</w:t>
            </w:r>
          </w:p>
        </w:tc>
        <w:tc>
          <w:tcPr>
            <w:tcW w:w="55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其他</w:t>
            </w:r>
          </w:p>
        </w:tc>
        <w:tc>
          <w:tcPr>
            <w:tcW w:w="525" w:type="dxa"/>
            <w:vMerge w:val="continue"/>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一、本年新收政府信息公开申请数量</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二、上年结转政府信息公开申请数量</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三、本年度办理结果</w:t>
            </w:r>
          </w:p>
        </w:tc>
        <w:tc>
          <w:tcPr>
            <w:tcW w:w="3825"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（一）予以公开</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3825"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（二）部分公开（区分处理的，只计这一情形，不计其他情形）</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（三）不予公开</w:t>
            </w: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1.属于国家秘密</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2.其他法律行政法规禁止公开</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3.危及“三安全一稳定”</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4.保护第三方合法权益</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5.属于三类内部事务信息</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6.属于四类过程性信息</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7.属于行政执法案卷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8.属于行政查询事项</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（四）无法提供</w:t>
            </w: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1.本机关不掌握相关政府信息</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2.没有现成信息需要另行制作</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3.补正后申请内容仍不明确</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945"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（五）不予处理</w:t>
            </w: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1.信访举报投诉类申请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2.重复申请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3.要求提供公开出版物</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4.无正当理由大量反复申请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5.要求行政机关确认或重新出具已获取信息</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（六）其他处理</w:t>
            </w: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1.申请人无正当理由逾期不补正、行政机关不再处理其政府信息公开申请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945"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288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3.其他</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Theme="minorEastAsia" w:hAnsiTheme="minorEastAsia" w:eastAsiaTheme="minorEastAsia" w:cstheme="minorEastAsia"/>
                <w:sz w:val="24"/>
                <w:szCs w:val="24"/>
              </w:rPr>
            </w:pPr>
          </w:p>
        </w:tc>
        <w:tc>
          <w:tcPr>
            <w:tcW w:w="3825"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（七）总计</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四、结转下年度继续办理</w:t>
            </w:r>
          </w:p>
        </w:tc>
        <w:tc>
          <w:tcPr>
            <w:tcW w:w="79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70"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2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四、政府信息公开行政复议、行政诉讼情况</w:t>
      </w:r>
    </w:p>
    <w:tbl>
      <w:tblPr>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1"/>
        <w:gridCol w:w="611"/>
        <w:gridCol w:w="597"/>
        <w:gridCol w:w="582"/>
        <w:gridCol w:w="479"/>
        <w:gridCol w:w="641"/>
        <w:gridCol w:w="641"/>
        <w:gridCol w:w="641"/>
        <w:gridCol w:w="626"/>
        <w:gridCol w:w="450"/>
        <w:gridCol w:w="641"/>
        <w:gridCol w:w="641"/>
        <w:gridCol w:w="641"/>
        <w:gridCol w:w="553"/>
        <w:gridCol w:w="4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289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行政复议</w:t>
            </w:r>
          </w:p>
        </w:tc>
        <w:tc>
          <w:tcPr>
            <w:tcW w:w="5925"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结果维持</w:t>
            </w:r>
          </w:p>
        </w:tc>
        <w:tc>
          <w:tcPr>
            <w:tcW w:w="61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其他结果</w:t>
            </w:r>
          </w:p>
        </w:tc>
        <w:tc>
          <w:tcPr>
            <w:tcW w:w="58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尚未审结</w:t>
            </w:r>
          </w:p>
        </w:tc>
        <w:tc>
          <w:tcPr>
            <w:tcW w:w="46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总计</w:t>
            </w:r>
          </w:p>
        </w:tc>
        <w:tc>
          <w:tcPr>
            <w:tcW w:w="301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未经复议直接起诉</w:t>
            </w:r>
          </w:p>
        </w:tc>
        <w:tc>
          <w:tcPr>
            <w:tcW w:w="291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61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58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4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Theme="minorEastAsia" w:hAnsiTheme="minorEastAsia" w:eastAsiaTheme="minorEastAsia" w:cstheme="minorEastAsia"/>
                <w:sz w:val="24"/>
                <w:szCs w:val="24"/>
              </w:rPr>
            </w:pP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结果维持</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其他结果</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尚未审结</w:t>
            </w:r>
          </w:p>
        </w:tc>
        <w:tc>
          <w:tcPr>
            <w:tcW w:w="4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总计</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结果维持</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结果纠正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其他结果</w:t>
            </w:r>
          </w:p>
        </w:tc>
        <w:tc>
          <w:tcPr>
            <w:tcW w:w="5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尚未审结</w:t>
            </w:r>
          </w:p>
        </w:tc>
        <w:tc>
          <w:tcPr>
            <w:tcW w:w="4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rPr>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4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五、存在的主要问题及改进情况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一是公开信息数量有待提高。二是信息分类还不够明确，部分信息没有找到相应分类。三是对政务信息的发掘敏感性不高，公开信息内容较单一。下一步，梁山街道将高度重视，改进改善工作方式，提高工作水平。一是继续高度重视政务信息公开工作，加强管理加强工作人员业务培训，提升政府信息公开工作人员能力。二是细化信息分类，保质保量。三是加强公开平台建设。优化网站栏目，完善网上咨询、建言等互动栏目的功能，强化办事服务功能，提高群众的知晓率和满意度。</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六、其他需要报告的事项</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（一）依据《政府信息公开信息处理费管理办法》规定，2022年未产生收费情况。</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（二）本行政机关落实上级年度政务公开工作要点情况：主动公开：机构职能、权责清单、财政预决算信息、政府采购、 乡镇动态、建议提案办理等栏目。</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（三）年度政务公开工作创新情况：无。</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（四）政府信息公开工作年度报告数据统计需要说明的事项：无。</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（五）认为需要报告的其他事项：无</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（六）其他有关文件专门要求通过政府信息公开工作年度报告予以报告的事项：无。</w:t>
      </w: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附件3：梁山街道办事处2022年政府信息公开情况统计表</w:t>
      </w:r>
    </w:p>
    <w:tbl>
      <w:tblPr>
        <w:tblW w:w="87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972"/>
        <w:gridCol w:w="902"/>
        <w:gridCol w:w="8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统　计　指　标</w:t>
            </w:r>
          </w:p>
        </w:tc>
        <w:tc>
          <w:tcPr>
            <w:tcW w:w="900"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单位</w:t>
            </w:r>
          </w:p>
        </w:tc>
        <w:tc>
          <w:tcPr>
            <w:tcW w:w="825"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统计数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一、主动公开情况</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（一）主动公开政府信息数（不同渠道和方式公开相同信息计1条）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（不同渠道和方式公开相同信息计1条）</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其中：主动公开规范性文件数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制发规范性文件总数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件</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（二）通过不同渠道和方式公开政府信息的情况</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1.政府公报公开政府信息数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2.政府网站公开政府信息数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3.政务微博公开政府信息数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4.政务微信公开政府信息数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5.其他方式公开政府信息数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二、回应解读情况（不同方式回应同一热点或舆情计1次）</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single" w:color="auto" w:sz="6" w:space="0"/>
              <w:left w:val="single" w:color="auto" w:sz="6" w:space="0"/>
              <w:bottom w:val="single" w:color="auto" w:sz="6" w:space="0"/>
              <w:right w:val="single" w:color="0A0A0A"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（一）回应公众关注热点或重大舆情数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（不同方式回应同一热点或舆情计1次）</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（二）通过不同渠道和方式回应解读的情况</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1.参加或举办新闻发布会总次数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其中：主要负责同志参加新闻发布会次数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2.政府网站在线访谈次数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其中：主要负责同志参加政府网站在线访谈次数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3.政策解读稿件发布数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篇</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4.微博微信回应事件数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5.其他方式回应事件数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single" w:color="auto" w:sz="6" w:space="0"/>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三、开通政府信息公开网站（或设立门户网站信息公开专栏）数</w:t>
            </w:r>
          </w:p>
        </w:tc>
        <w:tc>
          <w:tcPr>
            <w:tcW w:w="900" w:type="dxa"/>
            <w:tcBorders>
              <w:top w:val="single" w:color="auto" w:sz="6" w:space="0"/>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single" w:color="auto" w:sz="6" w:space="0"/>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1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（一）市政府部门门户网站</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（二）县（市、区）政府及其部门门户网站</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3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（三）乡镇政府（街道办事处）门户网站</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四、设置政府信息查阅点数</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（一）市政府部门</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（二）县（市、区）政府及其部门</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（三）乡镇政府（街道办事处）</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五、查阅点接待人数</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（一）市政府及其部门</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（二）县（市、区）政府及其部门</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nil"/>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（三）乡镇政府（街道办事处）</w:t>
            </w:r>
          </w:p>
        </w:tc>
        <w:tc>
          <w:tcPr>
            <w:tcW w:w="900" w:type="dxa"/>
            <w:tcBorders>
              <w:top w:val="nil"/>
              <w:left w:val="nil"/>
              <w:bottom w:val="nil"/>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nil"/>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六、机构建设和保障经费情况</w:t>
            </w:r>
          </w:p>
        </w:tc>
        <w:tc>
          <w:tcPr>
            <w:tcW w:w="900"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（一）政府信息公开工作专门机构数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个</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（二）从事政府信息公开工作人员数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人</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1.专职人员数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人</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2.兼职人员数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人</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5" w:hRule="atLeast"/>
        </w:trPr>
        <w:tc>
          <w:tcPr>
            <w:tcW w:w="6960" w:type="dxa"/>
            <w:tcBorders>
              <w:top w:val="nil"/>
              <w:left w:val="outset" w:color="000000" w:sz="6" w:space="0"/>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（三）政府信息公开专项经费</w:t>
            </w:r>
          </w:p>
        </w:tc>
        <w:tc>
          <w:tcPr>
            <w:tcW w:w="900" w:type="dxa"/>
            <w:tcBorders>
              <w:top w:val="nil"/>
              <w:left w:val="nil"/>
              <w:bottom w:val="single" w:color="auto"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万元</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6960" w:type="dxa"/>
            <w:tcBorders>
              <w:top w:val="outset" w:color="000000" w:sz="6" w:space="0"/>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七、政府信息公开会议和培训情况</w:t>
            </w:r>
          </w:p>
        </w:tc>
        <w:tc>
          <w:tcPr>
            <w:tcW w:w="900" w:type="dxa"/>
            <w:tcBorders>
              <w:top w:val="outset" w:color="000000" w:sz="6" w:space="0"/>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keepNext w:val="0"/>
              <w:keepLines w:val="0"/>
              <w:widowControl/>
              <w:suppressLineNumbers w:val="0"/>
              <w:jc w:val="left"/>
              <w:rPr>
                <w:rFonts w:hint="eastAsia" w:asciiTheme="minorEastAsia" w:hAnsiTheme="minorEastAsia" w:eastAsiaTheme="minorEastAsia" w:cstheme="minorEastAsia"/>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（一）召开政府信息公开工作会议或专题会议数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（二）举办各类培训班数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5" w:hRule="atLeast"/>
        </w:trPr>
        <w:tc>
          <w:tcPr>
            <w:tcW w:w="6960" w:type="dxa"/>
            <w:tcBorders>
              <w:top w:val="nil"/>
              <w:left w:val="outset" w:color="000000" w:sz="6" w:space="0"/>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（三）接受培训人员数</w:t>
            </w:r>
          </w:p>
        </w:tc>
        <w:tc>
          <w:tcPr>
            <w:tcW w:w="900"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人次</w:t>
            </w:r>
          </w:p>
        </w:tc>
        <w:tc>
          <w:tcPr>
            <w:tcW w:w="825" w:type="dxa"/>
            <w:tcBorders>
              <w:top w:val="nil"/>
              <w:left w:val="nil"/>
              <w:bottom w:val="outset" w:color="000000" w:sz="6" w:space="0"/>
              <w:right w:val="outset" w:color="000000" w:sz="6" w:space="0"/>
            </w:tcBorders>
            <w:shd w:val="clear"/>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bdr w:val="none" w:color="auto" w:sz="0" w:space="0"/>
              </w:rPr>
              <w:t>0</w:t>
            </w:r>
          </w:p>
        </w:tc>
      </w:tr>
    </w:tbl>
    <w:p>
      <w:pPr>
        <w:pStyle w:val="2"/>
        <w:keepNext w:val="0"/>
        <w:keepLines w:val="0"/>
        <w:widowControl/>
        <w:suppressLineNumbers w:val="0"/>
        <w:spacing w:before="0" w:beforeAutospacing="0" w:after="0" w:afterAutospacing="0" w:line="420" w:lineRule="atLeast"/>
        <w:ind w:left="0" w:right="0" w:firstLine="420"/>
        <w:jc w:val="left"/>
        <w:rPr>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i w:val="0"/>
          <w:iCs w:val="0"/>
          <w:caps w:val="0"/>
          <w:color w:val="000000"/>
          <w:spacing w:val="0"/>
          <w:sz w:val="24"/>
          <w:szCs w:val="24"/>
        </w:rPr>
        <w:t>（注：各子栏目数总数要等于总栏目数量）</w:t>
      </w:r>
    </w:p>
    <w:p>
      <w:pPr>
        <w:pStyle w:val="2"/>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微软雅黑" w:cs="Times New Roman"/>
          <w:b/>
          <w:bCs/>
          <w:i w:val="0"/>
          <w:iCs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WJmOWQ1MWFmZDcyYjBhZmY4MWNhN2NlOWQwYjEifQ=="/>
  </w:docVars>
  <w:rsids>
    <w:rsidRoot w:val="00000000"/>
    <w:rsid w:val="05FD4D09"/>
    <w:rsid w:val="324B41A4"/>
    <w:rsid w:val="4950370A"/>
    <w:rsid w:val="4DD55171"/>
    <w:rsid w:val="6413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2581</Words>
  <Characters>2652</Characters>
  <Lines>0</Lines>
  <Paragraphs>0</Paragraphs>
  <TotalTime>76</TotalTime>
  <ScaleCrop>false</ScaleCrop>
  <LinksUpToDate>false</LinksUpToDate>
  <CharactersWithSpaces>2774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2023-02-03T02:12:00Z</dcterms:created>
  <dc:creator>Administrator</dc:creator>
  <cp:lastModifiedBy>Administrator</cp:lastModifiedBy>
  <dcterms:modified xsi:type="dcterms:W3CDTF">2023-07-10T08:04:50Z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6B18C59B0CD349F8AA2C9FC351858C78_13</vt:lpwstr>
  </property>
</Properties>
</file>