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7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梁山县自然资源和规划局</w:t>
      </w:r>
      <w:r>
        <w:rPr>
          <w:rFonts w:ascii="方正小标宋简体" w:hAnsi="方正小标宋简体" w:eastAsia="方正小标宋简体" w:cs="方正小标宋简体"/>
          <w:color w:val="000000"/>
          <w:sz w:val="44"/>
          <w:szCs w:val="44"/>
        </w:rPr>
        <w:t>2023</w:t>
      </w:r>
      <w:r>
        <w:rPr>
          <w:rFonts w:hint="eastAsia" w:ascii="方正小标宋简体" w:hAnsi="方正小标宋简体" w:eastAsia="方正小标宋简体" w:cs="方正小标宋简体"/>
          <w:color w:val="000000"/>
          <w:sz w:val="44"/>
          <w:szCs w:val="44"/>
        </w:rPr>
        <w:t>年政府信息公开工作年度报告</w:t>
      </w:r>
    </w:p>
    <w:p>
      <w:pPr>
        <w:pStyle w:val="3"/>
        <w:widowControl/>
        <w:spacing w:beforeAutospacing="0" w:afterAutospacing="0" w:line="420" w:lineRule="atLeast"/>
        <w:ind w:firstLine="420"/>
        <w:rPr>
          <w:rFonts w:ascii="sans-serif" w:hAnsi="sans-serif" w:cs="sans-serif"/>
          <w:color w:val="000000"/>
          <w:sz w:val="19"/>
          <w:szCs w:val="19"/>
        </w:rPr>
      </w:pPr>
    </w:p>
    <w:p>
      <w:pPr>
        <w:pStyle w:val="3"/>
        <w:widowControl/>
        <w:spacing w:beforeAutospacing="0" w:afterAutospacing="0" w:line="560" w:lineRule="exact"/>
        <w:ind w:firstLine="640" w:firstLineChars="20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本报告由梁山县自然资源和规划局按照《中华人民共和国政府信息公开条例》（以下简称《条例》）和《中华人民共和国政府信息公开工作年度报告格式》（国办公开办函〔</w:t>
      </w:r>
      <w:r>
        <w:rPr>
          <w:rFonts w:ascii="方正仿宋简体" w:hAnsi="方正仿宋简体" w:eastAsia="方正仿宋简体" w:cs="方正仿宋简体"/>
          <w:color w:val="000000"/>
          <w:sz w:val="32"/>
          <w:szCs w:val="32"/>
        </w:rPr>
        <w:t>2021</w:t>
      </w:r>
      <w:r>
        <w:rPr>
          <w:rFonts w:hint="eastAsia" w:ascii="方正仿宋简体" w:hAnsi="方正仿宋简体" w:eastAsia="方正仿宋简体" w:cs="方正仿宋简体"/>
          <w:color w:val="000000"/>
          <w:sz w:val="32"/>
          <w:szCs w:val="32"/>
        </w:rPr>
        <w:t>〕</w:t>
      </w:r>
      <w:r>
        <w:rPr>
          <w:rFonts w:ascii="方正仿宋简体" w:hAnsi="方正仿宋简体" w:eastAsia="方正仿宋简体" w:cs="方正仿宋简体"/>
          <w:color w:val="000000"/>
          <w:sz w:val="32"/>
          <w:szCs w:val="32"/>
        </w:rPr>
        <w:t>30</w:t>
      </w:r>
      <w:r>
        <w:rPr>
          <w:rFonts w:hint="eastAsia" w:ascii="方正仿宋简体" w:hAnsi="方正仿宋简体" w:eastAsia="方正仿宋简体" w:cs="方正仿宋简体"/>
          <w:color w:val="000000"/>
          <w:sz w:val="32"/>
          <w:szCs w:val="32"/>
        </w:rPr>
        <w:t>号）要求编制。</w:t>
      </w:r>
    </w:p>
    <w:p>
      <w:pPr>
        <w:pStyle w:val="3"/>
        <w:widowControl/>
        <w:spacing w:beforeAutospacing="0" w:afterAutospacing="0" w:line="560" w:lineRule="exact"/>
        <w:ind w:firstLine="640" w:firstLineChars="20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widowControl/>
        <w:spacing w:beforeAutospacing="0" w:afterAutospacing="0" w:line="560" w:lineRule="exact"/>
        <w:ind w:firstLine="640" w:firstLineChars="20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本报告所列数据的统计期限自</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月</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日起至</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w:t>
      </w:r>
      <w:r>
        <w:rPr>
          <w:rFonts w:ascii="方正仿宋简体" w:hAnsi="方正仿宋简体" w:eastAsia="方正仿宋简体" w:cs="方正仿宋简体"/>
          <w:color w:val="000000"/>
          <w:sz w:val="32"/>
          <w:szCs w:val="32"/>
        </w:rPr>
        <w:t>12</w:t>
      </w:r>
      <w:r>
        <w:rPr>
          <w:rFonts w:hint="eastAsia" w:ascii="方正仿宋简体" w:hAnsi="方正仿宋简体" w:eastAsia="方正仿宋简体" w:cs="方正仿宋简体"/>
          <w:color w:val="000000"/>
          <w:sz w:val="32"/>
          <w:szCs w:val="32"/>
        </w:rPr>
        <w:t>月</w:t>
      </w:r>
      <w:r>
        <w:rPr>
          <w:rFonts w:ascii="方正仿宋简体" w:hAnsi="方正仿宋简体" w:eastAsia="方正仿宋简体" w:cs="方正仿宋简体"/>
          <w:color w:val="000000"/>
          <w:sz w:val="32"/>
          <w:szCs w:val="32"/>
        </w:rPr>
        <w:t>31</w:t>
      </w:r>
      <w:r>
        <w:rPr>
          <w:rFonts w:hint="eastAsia" w:ascii="方正仿宋简体" w:hAnsi="方正仿宋简体" w:eastAsia="方正仿宋简体" w:cs="方正仿宋简体"/>
          <w:color w:val="000000"/>
          <w:sz w:val="32"/>
          <w:szCs w:val="32"/>
        </w:rPr>
        <w:t>日止。本报告电子版可在“中国·济宁”政府门户网站（具体网址）查阅或下载。如对本报告有疑问，请与梁山县自然资源和规划局联系（地址：梁山县新城区政务中心</w:t>
      </w:r>
      <w:r>
        <w:rPr>
          <w:rFonts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rPr>
        <w:t>号楼</w:t>
      </w:r>
      <w:r>
        <w:rPr>
          <w:rFonts w:ascii="方正仿宋简体" w:hAnsi="方正仿宋简体" w:eastAsia="方正仿宋简体" w:cs="方正仿宋简体"/>
          <w:color w:val="000000"/>
          <w:sz w:val="32"/>
          <w:szCs w:val="32"/>
        </w:rPr>
        <w:t>3004</w:t>
      </w:r>
      <w:r>
        <w:rPr>
          <w:rFonts w:hint="eastAsia" w:ascii="方正仿宋简体" w:hAnsi="方正仿宋简体" w:eastAsia="方正仿宋简体" w:cs="方正仿宋简体"/>
          <w:color w:val="000000"/>
          <w:sz w:val="32"/>
          <w:szCs w:val="32"/>
        </w:rPr>
        <w:t>房间，联系电话：</w:t>
      </w:r>
      <w:r>
        <w:rPr>
          <w:rFonts w:ascii="方正仿宋简体" w:hAnsi="方正仿宋简体" w:eastAsia="方正仿宋简体" w:cs="方正仿宋简体"/>
          <w:color w:val="000000"/>
          <w:sz w:val="32"/>
          <w:szCs w:val="32"/>
        </w:rPr>
        <w:t>0537-7321863</w:t>
      </w:r>
      <w:r>
        <w:rPr>
          <w:rFonts w:hint="eastAsia" w:ascii="方正仿宋简体" w:hAnsi="方正仿宋简体" w:eastAsia="方正仿宋简体" w:cs="方正仿宋简体"/>
          <w:color w:val="000000"/>
          <w:sz w:val="32"/>
          <w:szCs w:val="32"/>
        </w:rPr>
        <w:t>）。</w:t>
      </w: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一、总体情况</w:t>
      </w:r>
    </w:p>
    <w:p>
      <w:pPr>
        <w:pStyle w:val="3"/>
        <w:widowControl/>
        <w:spacing w:beforeAutospacing="0" w:afterAutospacing="0" w:line="56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（一）主动公开情况</w:t>
      </w:r>
    </w:p>
    <w:p>
      <w:pPr>
        <w:spacing w:line="590" w:lineRule="exact"/>
        <w:ind w:right="-105" w:rightChars="-50"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我局政府信息网上公开内容全面、符合要求。在政府信息公开方面，针对老百姓反映的急、难等问题逐项对我局办事指南进行补充和完善，并实现了网上公开；在公众参与方面，公布了举报、信访等全面的联系方式，实现了为民服务、信访举报，反映问题等功能；在梁山县政府网站首页设置业务办理指南飘窗并开设专题栏目、内容和布局更趋于完善合理，方便办事群众直接找到自己办事的科室并准备好所需材料，避免重复跑腿，提高办事效率，真正体现为人民服务这一宗旨。同时也加强了对梁山县政府网站自然资源信息的定期更新与维护。</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月</w:t>
      </w:r>
      <w:r>
        <w:rPr>
          <w:rFonts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t>日，全市自然资源信息化和网络安全现场会议在梁山召开，各县市区自然资源系统共</w:t>
      </w:r>
      <w:r>
        <w:rPr>
          <w:rFonts w:ascii="方正仿宋简体" w:hAnsi="方正仿宋简体" w:eastAsia="方正仿宋简体" w:cs="方正仿宋简体"/>
          <w:sz w:val="32"/>
          <w:szCs w:val="32"/>
        </w:rPr>
        <w:t>200</w:t>
      </w:r>
      <w:r>
        <w:rPr>
          <w:rFonts w:hint="eastAsia" w:ascii="方正仿宋简体" w:hAnsi="方正仿宋简体" w:eastAsia="方正仿宋简体" w:cs="方正仿宋简体"/>
          <w:sz w:val="32"/>
          <w:szCs w:val="32"/>
        </w:rPr>
        <w:t>余人参加会议。</w:t>
      </w:r>
      <w:r>
        <w:rPr>
          <w:rFonts w:ascii="方正仿宋简体" w:hAnsi="方正仿宋简体" w:eastAsia="方正仿宋简体" w:cs="方正仿宋简体"/>
          <w:color w:val="000000"/>
          <w:sz w:val="32"/>
          <w:szCs w:val="32"/>
        </w:rPr>
        <w:t> 2023</w:t>
      </w:r>
      <w:r>
        <w:rPr>
          <w:rFonts w:hint="eastAsia" w:ascii="方正仿宋简体" w:hAnsi="方正仿宋简体" w:eastAsia="方正仿宋简体" w:cs="方正仿宋简体"/>
          <w:color w:val="000000"/>
          <w:sz w:val="32"/>
          <w:szCs w:val="32"/>
        </w:rPr>
        <w:t>年，我局主动申请公开信息总数为</w:t>
      </w:r>
      <w:r>
        <w:rPr>
          <w:rFonts w:ascii="方正仿宋简体" w:hAnsi="方正仿宋简体" w:eastAsia="方正仿宋简体" w:cs="方正仿宋简体"/>
          <w:color w:val="000000"/>
          <w:sz w:val="32"/>
          <w:szCs w:val="32"/>
        </w:rPr>
        <w:t>465</w:t>
      </w:r>
      <w:r>
        <w:rPr>
          <w:rFonts w:hint="eastAsia" w:ascii="方正仿宋简体" w:hAnsi="方正仿宋简体" w:eastAsia="方正仿宋简体" w:cs="方正仿宋简体"/>
          <w:color w:val="000000"/>
          <w:sz w:val="32"/>
          <w:szCs w:val="32"/>
        </w:rPr>
        <w:t>条，具体内容见下图。</w:t>
      </w:r>
      <w:r>
        <w:rPr>
          <w:rFonts w:ascii="方正仿宋简体" w:hAnsi="方正仿宋简体" w:eastAsia="方正仿宋简体" w:cs="方正仿宋简体"/>
          <w:color w:val="000000"/>
          <w:sz w:val="32"/>
          <w:szCs w:val="32"/>
        </w:rPr>
        <w:t>   </w:t>
      </w:r>
    </w:p>
    <w:p>
      <w:pPr>
        <w:pStyle w:val="3"/>
        <w:widowControl/>
        <w:spacing w:beforeAutospacing="0" w:afterAutospacing="0" w:line="420" w:lineRule="atLeast"/>
        <w:jc w:val="both"/>
        <w:rPr>
          <w:rFonts w:ascii="sans-serif" w:hAnsi="sans-serif" w:cs="sans-serif"/>
          <w:color w:val="000000"/>
          <w:sz w:val="19"/>
          <w:szCs w:val="19"/>
        </w:rPr>
      </w:pPr>
      <w:r>
        <w:rPr>
          <w:rFonts w:ascii="sans-serif" w:hAnsi="sans-serif" w:cs="sans-serif"/>
          <w:color w:val="000000"/>
          <w:sz w:val="19"/>
          <w:szCs w:val="19"/>
        </w:rPr>
        <w:pict>
          <v:shape id="_x0000_i1025" o:spt="75" alt="主动公开(1)_01" type="#_x0000_t75" style="height:234pt;width:409.8pt;" filled="f" o:preferrelative="t" stroked="f" coordsize="21600,21600">
            <v:path/>
            <v:fill on="f" focussize="0,0"/>
            <v:stroke on="f" joinstyle="miter"/>
            <v:imagedata r:id="rId4" o:title=""/>
            <o:lock v:ext="edit" aspectratio="t"/>
            <w10:wrap type="none"/>
            <w10:anchorlock/>
          </v:shape>
        </w:pict>
      </w:r>
    </w:p>
    <w:p>
      <w:pPr>
        <w:pStyle w:val="3"/>
        <w:widowControl/>
        <w:spacing w:beforeAutospacing="0" w:afterAutospacing="0" w:line="56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（二）依申请公开情况</w:t>
      </w:r>
    </w:p>
    <w:p>
      <w:pPr>
        <w:pStyle w:val="3"/>
        <w:widowControl/>
        <w:spacing w:beforeAutospacing="0" w:afterAutospacing="0" w:line="560" w:lineRule="exact"/>
        <w:ind w:firstLine="640" w:firstLineChars="20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建立了依申请公开制度，制定了办理流程，政务信息公开咨询、申请以及答复工作均顺利开展。</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年，我局依申请公开信息总数为</w:t>
      </w:r>
      <w:r>
        <w:rPr>
          <w:rFonts w:ascii="方正仿宋简体" w:hAnsi="方正仿宋简体" w:eastAsia="方正仿宋简体" w:cs="方正仿宋简体"/>
          <w:color w:val="000000"/>
          <w:sz w:val="32"/>
          <w:szCs w:val="32"/>
        </w:rPr>
        <w:t>33</w:t>
      </w:r>
      <w:r>
        <w:rPr>
          <w:rFonts w:hint="eastAsia" w:ascii="方正仿宋简体" w:hAnsi="方正仿宋简体" w:eastAsia="方正仿宋简体" w:cs="方正仿宋简体"/>
          <w:color w:val="000000"/>
          <w:sz w:val="32"/>
          <w:szCs w:val="32"/>
        </w:rPr>
        <w:t>条，具体内容见下图。</w:t>
      </w:r>
    </w:p>
    <w:p>
      <w:pPr>
        <w:pStyle w:val="3"/>
        <w:widowControl/>
        <w:spacing w:beforeAutospacing="0" w:afterAutospacing="0" w:line="420" w:lineRule="atLeast"/>
        <w:rPr>
          <w:rFonts w:ascii="sans-serif" w:hAnsi="sans-serif" w:cs="sans-serif"/>
          <w:color w:val="000000"/>
          <w:sz w:val="19"/>
          <w:szCs w:val="19"/>
        </w:rPr>
      </w:pPr>
      <w:r>
        <w:rPr>
          <w:rFonts w:ascii="sans-serif" w:hAnsi="sans-serif" w:cs="sans-serif"/>
          <w:color w:val="000000"/>
          <w:sz w:val="19"/>
          <w:szCs w:val="19"/>
        </w:rPr>
        <w:pict>
          <v:shape id="_x0000_i1026" o:spt="75" alt="依申请公开(1)_01(1)" type="#_x0000_t75" style="height:233.4pt;width:411pt;" filled="f" o:preferrelative="t" stroked="f" coordsize="21600,21600">
            <v:path/>
            <v:fill on="f" focussize="0,0"/>
            <v:stroke on="f" joinstyle="miter"/>
            <v:imagedata r:id="rId5" o:title=""/>
            <o:lock v:ext="edit" aspectratio="t"/>
            <w10:wrap type="none"/>
            <w10:anchorlock/>
          </v:shape>
        </w:pict>
      </w:r>
    </w:p>
    <w:p>
      <w:pPr>
        <w:pStyle w:val="3"/>
        <w:widowControl/>
        <w:spacing w:beforeAutospacing="0" w:afterAutospacing="0" w:line="56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（三）政府信息管理情况</w:t>
      </w:r>
    </w:p>
    <w:p>
      <w:pPr>
        <w:pStyle w:val="3"/>
        <w:widowControl/>
        <w:spacing w:beforeAutospacing="0" w:afterAutospacing="0" w:line="560" w:lineRule="exact"/>
        <w:ind w:firstLine="640" w:firstLineChars="20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我局相继出台了《梁山县自然资源和规划局政府信息公开指南》《梁山县自然资源和规划系统政府信息公开暂行管理办法》等相关文件，明确信息发布遵循“统一领导、严格审查、明确责任、加强监督”“谁提供，谁负责”“谁公开，谁负责”的原则，建立门户网站信息员制度，指定专人负责本单位的工作动态、政务公开内容、业务办理情况等重要信息的收集、编辑、发布及电子文档的建立，保证上网信息及时发布与更新。</w:t>
      </w:r>
    </w:p>
    <w:p>
      <w:pPr>
        <w:pStyle w:val="3"/>
        <w:widowControl/>
        <w:spacing w:beforeAutospacing="0" w:afterAutospacing="0" w:line="56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（四）监督保障情况</w:t>
      </w:r>
    </w:p>
    <w:p>
      <w:pPr>
        <w:spacing w:line="590" w:lineRule="exact"/>
        <w:ind w:right="-105" w:rightChars="-50"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高度重视政府信息公开工作，成立了以局长为组长，分管副局长为副组长，各科室负责人为成员的政府信息公开领导小组，明确信息中心为政务公开牵头科室，并配备专人负责，切实加强了对政府信息公开工作的领导，并将政府信息公开工作开展情况作为各单位年度考核的一项重要内容。</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年共组织开展业务培训</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次。</w:t>
      </w:r>
    </w:p>
    <w:p>
      <w:pPr>
        <w:pStyle w:val="4"/>
        <w:ind w:firstLine="31680"/>
      </w:pP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二、主动公开政府信息情况</w:t>
      </w:r>
    </w:p>
    <w:tbl>
      <w:tblPr>
        <w:tblStyle w:val="5"/>
        <w:tblW w:w="834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944"/>
        <w:gridCol w:w="1704"/>
        <w:gridCol w:w="1776"/>
        <w:gridCol w:w="29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834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信息内容</w:t>
            </w:r>
          </w:p>
        </w:tc>
        <w:tc>
          <w:tcPr>
            <w:tcW w:w="1704" w:type="dxa"/>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本年制发件数</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本年废止件数</w:t>
            </w:r>
          </w:p>
        </w:tc>
        <w:tc>
          <w:tcPr>
            <w:tcW w:w="2925" w:type="dxa"/>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规章</w:t>
            </w:r>
          </w:p>
        </w:tc>
        <w:tc>
          <w:tcPr>
            <w:tcW w:w="170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c>
          <w:tcPr>
            <w:tcW w:w="1776"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c>
          <w:tcPr>
            <w:tcW w:w="2925"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行政规范性文件</w:t>
            </w:r>
          </w:p>
        </w:tc>
        <w:tc>
          <w:tcPr>
            <w:tcW w:w="170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c>
          <w:tcPr>
            <w:tcW w:w="1776"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c>
          <w:tcPr>
            <w:tcW w:w="2925"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8349" w:type="dxa"/>
            <w:gridSpan w:val="4"/>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信息内容</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行政许可</w:t>
            </w:r>
          </w:p>
        </w:tc>
        <w:tc>
          <w:tcPr>
            <w:tcW w:w="6405" w:type="dxa"/>
            <w:gridSpan w:val="3"/>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8349" w:type="dxa"/>
            <w:gridSpan w:val="4"/>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信息内容</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行政处罚</w:t>
            </w:r>
          </w:p>
        </w:tc>
        <w:tc>
          <w:tcPr>
            <w:tcW w:w="6405" w:type="dxa"/>
            <w:gridSpan w:val="3"/>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行政强制</w:t>
            </w:r>
          </w:p>
        </w:tc>
        <w:tc>
          <w:tcPr>
            <w:tcW w:w="6405" w:type="dxa"/>
            <w:gridSpan w:val="3"/>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8349" w:type="dxa"/>
            <w:gridSpan w:val="4"/>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信息内容</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1944" w:type="dxa"/>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rPr>
                <w:rFonts w:hint="eastAsia"/>
              </w:rPr>
              <w:t>行政事业性收费</w:t>
            </w:r>
          </w:p>
        </w:tc>
        <w:tc>
          <w:tcPr>
            <w:tcW w:w="6405" w:type="dxa"/>
            <w:gridSpan w:val="3"/>
            <w:tcBorders>
              <w:top w:val="nil"/>
              <w:left w:val="single" w:color="auto" w:sz="4" w:space="0"/>
              <w:bottom w:val="single" w:color="auto" w:sz="4" w:space="0"/>
              <w:right w:val="single" w:color="auto" w:sz="4" w:space="0"/>
            </w:tcBorders>
            <w:shd w:val="clear" w:color="auto" w:fill="FFFFFF"/>
            <w:tcMar>
              <w:top w:w="0" w:type="dxa"/>
              <w:left w:w="48" w:type="dxa"/>
              <w:bottom w:w="0" w:type="dxa"/>
              <w:right w:w="48" w:type="dxa"/>
            </w:tcMar>
            <w:vAlign w:val="center"/>
          </w:tcPr>
          <w:p>
            <w:pPr>
              <w:pStyle w:val="3"/>
              <w:widowControl/>
              <w:spacing w:beforeAutospacing="0" w:afterAutospacing="0" w:line="420" w:lineRule="atLeast"/>
            </w:pPr>
            <w:r>
              <w:t>7238.6355</w:t>
            </w:r>
          </w:p>
        </w:tc>
      </w:tr>
    </w:tbl>
    <w:p>
      <w:pPr>
        <w:pStyle w:val="3"/>
        <w:widowControl/>
        <w:spacing w:beforeAutospacing="0" w:afterAutospacing="0" w:line="560" w:lineRule="exact"/>
        <w:rPr>
          <w:rFonts w:ascii="方正黑体简体" w:hAnsi="方正黑体简体" w:eastAsia="方正黑体简体" w:cs="方正黑体简体"/>
          <w:color w:val="000000"/>
          <w:sz w:val="32"/>
          <w:szCs w:val="32"/>
        </w:rPr>
      </w:pP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三、收到和处理政府信息公开申请情况</w:t>
      </w:r>
    </w:p>
    <w:tbl>
      <w:tblPr>
        <w:tblStyle w:val="5"/>
        <w:tblW w:w="84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8"/>
        <w:gridCol w:w="816"/>
        <w:gridCol w:w="2100"/>
        <w:gridCol w:w="870"/>
        <w:gridCol w:w="463"/>
        <w:gridCol w:w="452"/>
        <w:gridCol w:w="463"/>
        <w:gridCol w:w="442"/>
        <w:gridCol w:w="431"/>
        <w:gridCol w:w="17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24" w:type="dxa"/>
            <w:gridSpan w:val="3"/>
            <w:vMerge w:val="restart"/>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（本列数据的勾稽关系为：第一项加第二项之和，等于第三项加第四项之和）</w:t>
            </w:r>
          </w:p>
        </w:tc>
        <w:tc>
          <w:tcPr>
            <w:tcW w:w="4877" w:type="dxa"/>
            <w:gridSpan w:val="7"/>
            <w:tcBorders>
              <w:top w:val="single" w:color="auto" w:sz="4" w:space="0"/>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2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870" w:type="dxa"/>
            <w:vMerge w:val="restart"/>
            <w:tcBorders>
              <w:top w:val="nil"/>
              <w:left w:val="single" w:color="auto" w:sz="4" w:space="0"/>
              <w:bottom w:val="single" w:color="auto" w:sz="4" w:space="0"/>
              <w:right w:val="single" w:color="auto" w:sz="4" w:space="0"/>
            </w:tcBorders>
            <w:vAlign w:val="center"/>
          </w:tcPr>
          <w:p>
            <w:pPr>
              <w:pStyle w:val="3"/>
              <w:widowControl/>
              <w:spacing w:beforeAutospacing="0" w:afterAutospacing="0" w:line="420" w:lineRule="atLeast"/>
            </w:pPr>
            <w:r>
              <w:rPr>
                <w:rFonts w:hint="eastAsia"/>
              </w:rPr>
              <w:t>自然人</w:t>
            </w:r>
          </w:p>
        </w:tc>
        <w:tc>
          <w:tcPr>
            <w:tcW w:w="2251" w:type="dxa"/>
            <w:gridSpan w:val="5"/>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法人或其他组织</w:t>
            </w:r>
          </w:p>
        </w:tc>
        <w:tc>
          <w:tcPr>
            <w:tcW w:w="1756" w:type="dxa"/>
            <w:vMerge w:val="restart"/>
            <w:tcBorders>
              <w:top w:val="single" w:color="auto" w:sz="4" w:space="0"/>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2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870" w:type="dxa"/>
            <w:vMerge w:val="continue"/>
            <w:tcBorders>
              <w:top w:val="nil"/>
              <w:left w:val="single" w:color="auto" w:sz="4" w:space="0"/>
              <w:bottom w:val="single" w:color="auto" w:sz="4" w:space="0"/>
              <w:right w:val="single" w:color="auto" w:sz="4" w:space="0"/>
            </w:tcBorders>
            <w:vAlign w:val="center"/>
          </w:tcPr>
          <w:p>
            <w:pPr>
              <w:rPr>
                <w:rFonts w:ascii="宋体"/>
                <w:sz w:val="24"/>
              </w:rPr>
            </w:pPr>
          </w:p>
        </w:tc>
        <w:tc>
          <w:tcPr>
            <w:tcW w:w="463" w:type="dxa"/>
            <w:tcBorders>
              <w:top w:val="nil"/>
              <w:left w:val="single" w:color="auto" w:sz="4" w:space="0"/>
              <w:bottom w:val="single" w:color="auto" w:sz="4" w:space="0"/>
              <w:right w:val="single" w:color="auto" w:sz="4" w:space="0"/>
            </w:tcBorders>
            <w:vAlign w:val="center"/>
          </w:tcPr>
          <w:p>
            <w:pPr>
              <w:pStyle w:val="3"/>
              <w:widowControl/>
              <w:spacing w:beforeAutospacing="0" w:afterAutospacing="0" w:line="420" w:lineRule="atLeast"/>
            </w:pPr>
            <w:r>
              <w:rPr>
                <w:rFonts w:hint="eastAsia"/>
              </w:rPr>
              <w:t>商业</w:t>
            </w:r>
          </w:p>
          <w:p>
            <w:pPr>
              <w:pStyle w:val="3"/>
              <w:widowControl/>
              <w:spacing w:beforeAutospacing="0" w:afterAutospacing="0" w:line="420" w:lineRule="atLeast"/>
            </w:pPr>
            <w:r>
              <w:rPr>
                <w:rFonts w:hint="eastAsia"/>
              </w:rPr>
              <w:t>企业</w:t>
            </w:r>
          </w:p>
        </w:tc>
        <w:tc>
          <w:tcPr>
            <w:tcW w:w="452" w:type="dxa"/>
            <w:tcBorders>
              <w:top w:val="nil"/>
              <w:left w:val="single" w:color="auto" w:sz="4" w:space="0"/>
              <w:bottom w:val="single" w:color="auto" w:sz="4" w:space="0"/>
              <w:right w:val="single" w:color="auto" w:sz="4" w:space="0"/>
            </w:tcBorders>
            <w:vAlign w:val="center"/>
          </w:tcPr>
          <w:p>
            <w:pPr>
              <w:pStyle w:val="3"/>
              <w:widowControl/>
              <w:spacing w:beforeAutospacing="0" w:afterAutospacing="0" w:line="420" w:lineRule="atLeast"/>
            </w:pPr>
            <w:r>
              <w:rPr>
                <w:rFonts w:hint="eastAsia"/>
              </w:rPr>
              <w:t>科研</w:t>
            </w:r>
          </w:p>
          <w:p>
            <w:pPr>
              <w:pStyle w:val="3"/>
              <w:widowControl/>
              <w:spacing w:beforeAutospacing="0" w:afterAutospacing="0" w:line="420" w:lineRule="atLeast"/>
            </w:pPr>
            <w:r>
              <w:rPr>
                <w:rFonts w:hint="eastAsia"/>
              </w:rPr>
              <w:t>机构</w:t>
            </w:r>
          </w:p>
        </w:tc>
        <w:tc>
          <w:tcPr>
            <w:tcW w:w="463"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line="420" w:lineRule="atLeast"/>
            </w:pPr>
            <w:r>
              <w:rPr>
                <w:rFonts w:hint="eastAsia"/>
              </w:rPr>
              <w:t>社会公益组织</w:t>
            </w:r>
          </w:p>
        </w:tc>
        <w:tc>
          <w:tcPr>
            <w:tcW w:w="442"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line="420" w:lineRule="atLeast"/>
            </w:pPr>
            <w:r>
              <w:rPr>
                <w:rFonts w:hint="eastAsia"/>
              </w:rPr>
              <w:t>法律服务机构</w:t>
            </w:r>
          </w:p>
        </w:tc>
        <w:tc>
          <w:tcPr>
            <w:tcW w:w="43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其他</w:t>
            </w:r>
          </w:p>
        </w:tc>
        <w:tc>
          <w:tcPr>
            <w:tcW w:w="1756" w:type="dxa"/>
            <w:vMerge w:val="continue"/>
            <w:tcBorders>
              <w:top w:val="single" w:color="auto" w:sz="4" w:space="0"/>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6" w:hRule="atLeast"/>
        </w:trPr>
        <w:tc>
          <w:tcPr>
            <w:tcW w:w="3524" w:type="dxa"/>
            <w:gridSpan w:val="3"/>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一、本年新收政府信息公开申请数量</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33</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3524" w:type="dxa"/>
            <w:gridSpan w:val="3"/>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二、上年结转政府信息公开申请数量</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三、本年度办理结果</w:t>
            </w:r>
          </w:p>
        </w:tc>
        <w:tc>
          <w:tcPr>
            <w:tcW w:w="2916" w:type="dxa"/>
            <w:gridSpan w:val="2"/>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（一）予以公开</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ind w:firstLine="530"/>
            </w:pPr>
            <w:r>
              <w:t>32</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1756" w:type="dxa"/>
            <w:tcBorders>
              <w:top w:val="single" w:color="auto" w:sz="4" w:space="0"/>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4"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916" w:type="dxa"/>
            <w:gridSpan w:val="2"/>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（二）部分公开（区分处理的，只计这一情形，不计其他情形）</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p>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（三）不予公开</w:t>
            </w: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1.</w:t>
            </w:r>
            <w:r>
              <w:rPr>
                <w:rFonts w:hint="eastAsia"/>
              </w:rPr>
              <w:t>属于国家秘密</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single" w:color="auto" w:sz="4" w:space="0"/>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2.</w:t>
            </w:r>
            <w:r>
              <w:rPr>
                <w:rFonts w:hint="eastAsia"/>
              </w:rPr>
              <w:t>其他法律行政法规禁止公开</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1</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w:t>
            </w:r>
            <w:r>
              <w:rPr>
                <w:rFonts w:hint="eastAsia"/>
              </w:rPr>
              <w:t>危及</w:t>
            </w:r>
            <w:r>
              <w:t>“</w:t>
            </w:r>
            <w:r>
              <w:rPr>
                <w:rFonts w:hint="eastAsia"/>
              </w:rPr>
              <w:t>三安全一稳定</w:t>
            </w:r>
            <w:r>
              <w:t>”</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4.</w:t>
            </w:r>
            <w:r>
              <w:rPr>
                <w:rFonts w:hint="eastAsia"/>
              </w:rPr>
              <w:t>保护第三方合法权益</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5.</w:t>
            </w:r>
            <w:r>
              <w:rPr>
                <w:rFonts w:hint="eastAsia"/>
              </w:rPr>
              <w:t>属于三类内部事务信息</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6.</w:t>
            </w:r>
            <w:r>
              <w:rPr>
                <w:rFonts w:hint="eastAsia"/>
              </w:rPr>
              <w:t>属于四类过程性信息</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7.</w:t>
            </w:r>
            <w:r>
              <w:rPr>
                <w:rFonts w:hint="eastAsia"/>
              </w:rPr>
              <w:t>属于行政执法案卷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8.</w:t>
            </w:r>
            <w:r>
              <w:rPr>
                <w:rFonts w:hint="eastAsia"/>
              </w:rPr>
              <w:t>属于行政查询事项</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（四）无法提供</w:t>
            </w: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1.</w:t>
            </w:r>
            <w:r>
              <w:rPr>
                <w:rFonts w:hint="eastAsia"/>
              </w:rPr>
              <w:t>本机关不掌握相关政府信息</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2.</w:t>
            </w:r>
            <w:r>
              <w:rPr>
                <w:rFonts w:hint="eastAsia"/>
              </w:rPr>
              <w:t>没有现成信息需要另行制作</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6"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w:t>
            </w:r>
            <w:r>
              <w:rPr>
                <w:rFonts w:hint="eastAsia"/>
              </w:rPr>
              <w:t>补正后申请内容仍不明确</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widowControl/>
              <w:jc w:val="left"/>
            </w:pPr>
          </w:p>
        </w:tc>
        <w:tc>
          <w:tcPr>
            <w:tcW w:w="816"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（五）不予处理</w:t>
            </w: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1.</w:t>
            </w:r>
            <w:r>
              <w:rPr>
                <w:rFonts w:hint="eastAsia"/>
              </w:rPr>
              <w:t>信访举报投诉类申请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2.</w:t>
            </w:r>
            <w:r>
              <w:rPr>
                <w:rFonts w:hint="eastAsia"/>
              </w:rPr>
              <w:t>重复申请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w:t>
            </w:r>
            <w:r>
              <w:rPr>
                <w:rFonts w:hint="eastAsia"/>
              </w:rPr>
              <w:t>要求提供公开出版物</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4.</w:t>
            </w:r>
            <w:r>
              <w:rPr>
                <w:rFonts w:hint="eastAsia"/>
              </w:rPr>
              <w:t>无正当理由大量反复申请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5.</w:t>
            </w:r>
            <w:r>
              <w:rPr>
                <w:rFonts w:hint="eastAsia"/>
              </w:rPr>
              <w:t>要求行政机关确认或重新出具已获取信息</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restart"/>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（六）其他处理</w:t>
            </w: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jc w:val="center"/>
            </w:pPr>
            <w:r>
              <w:t>1.</w:t>
            </w:r>
            <w:r>
              <w:rPr>
                <w:rFonts w:hint="eastAsia"/>
              </w:rPr>
              <w:t>申请人无正当理由逾期不补正、行政机关不再处理其政府信息公开申请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jc w:val="center"/>
            </w:pPr>
          </w:p>
          <w:p>
            <w:pPr>
              <w:pStyle w:val="3"/>
              <w:widowControl/>
              <w:spacing w:beforeAutospacing="0" w:afterAutospacing="0" w:line="420" w:lineRule="atLeast"/>
            </w:pPr>
            <w:r>
              <w:t>0</w:t>
            </w:r>
          </w:p>
          <w:p>
            <w:pPr>
              <w:pStyle w:val="3"/>
              <w:widowControl/>
              <w:spacing w:beforeAutospacing="0" w:afterAutospacing="0" w:line="420" w:lineRule="atLeas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2.</w:t>
            </w:r>
            <w:r>
              <w:rPr>
                <w:rFonts w:hint="eastAsia"/>
              </w:rPr>
              <w:t>申请人逾期未按收费通知要求缴纳费用、行政机关不再处理其政府信息公开申请</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p>
          <w:p>
            <w:pPr>
              <w:pStyle w:val="3"/>
              <w:widowControl/>
              <w:spacing w:beforeAutospacing="0" w:afterAutospacing="0" w:line="420" w:lineRule="atLeast"/>
            </w:pPr>
          </w:p>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816"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10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3.</w:t>
            </w:r>
            <w:r>
              <w:rPr>
                <w:rFonts w:hint="eastAsia"/>
              </w:rPr>
              <w:t>其他</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8" w:type="dxa"/>
            <w:vMerge w:val="continue"/>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rPr>
                <w:rFonts w:ascii="宋体"/>
                <w:sz w:val="24"/>
              </w:rPr>
            </w:pPr>
          </w:p>
        </w:tc>
        <w:tc>
          <w:tcPr>
            <w:tcW w:w="2916" w:type="dxa"/>
            <w:gridSpan w:val="2"/>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（七）总计</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33</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24" w:type="dxa"/>
            <w:gridSpan w:val="3"/>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rPr>
                <w:rFonts w:hint="eastAsia"/>
              </w:rPr>
              <w:t>四、结转下年度继续办理</w:t>
            </w:r>
          </w:p>
        </w:tc>
        <w:tc>
          <w:tcPr>
            <w:tcW w:w="870"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5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0 </w:t>
            </w:r>
          </w:p>
        </w:tc>
        <w:tc>
          <w:tcPr>
            <w:tcW w:w="463"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42"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431" w:type="dxa"/>
            <w:tcBorders>
              <w:top w:val="nil"/>
              <w:left w:val="single" w:color="auto" w:sz="4" w:space="0"/>
              <w:bottom w:val="single" w:color="auto" w:sz="4" w:space="0"/>
              <w:right w:val="single" w:color="auto" w:sz="4" w:space="0"/>
            </w:tcBorders>
            <w:tcMar>
              <w:top w:w="0" w:type="dxa"/>
              <w:left w:w="48" w:type="dxa"/>
              <w:bottom w:w="0" w:type="dxa"/>
              <w:right w:w="48" w:type="dxa"/>
            </w:tcMar>
            <w:vAlign w:val="center"/>
          </w:tcPr>
          <w:p>
            <w:pPr>
              <w:pStyle w:val="3"/>
              <w:widowControl/>
              <w:spacing w:beforeAutospacing="0" w:afterAutospacing="0" w:line="420" w:lineRule="atLeast"/>
            </w:pPr>
            <w:r>
              <w:t>0</w:t>
            </w:r>
          </w:p>
        </w:tc>
        <w:tc>
          <w:tcPr>
            <w:tcW w:w="1756" w:type="dxa"/>
            <w:tcBorders>
              <w:top w:val="nil"/>
              <w:left w:val="single" w:color="auto" w:sz="4" w:space="0"/>
              <w:bottom w:val="single" w:color="auto" w:sz="4" w:space="0"/>
              <w:right w:val="single" w:color="auto" w:sz="4" w:space="0"/>
            </w:tcBorders>
            <w:tcMar>
              <w:top w:w="0" w:type="dxa"/>
              <w:left w:w="48" w:type="dxa"/>
              <w:bottom w:w="0" w:type="dxa"/>
              <w:right w:w="48" w:type="dxa"/>
            </w:tcMar>
          </w:tcPr>
          <w:p>
            <w:pPr>
              <w:pStyle w:val="3"/>
              <w:widowControl/>
              <w:spacing w:beforeAutospacing="0" w:afterAutospacing="0" w:line="420" w:lineRule="atLeast"/>
            </w:pPr>
            <w:r>
              <w:t>0</w:t>
            </w:r>
          </w:p>
        </w:tc>
      </w:tr>
    </w:tbl>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四、政府信息公开行政复议、行政诉讼情况</w:t>
      </w:r>
    </w:p>
    <w:tbl>
      <w:tblPr>
        <w:tblStyle w:val="5"/>
        <w:tblW w:w="84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80"/>
        <w:gridCol w:w="480"/>
        <w:gridCol w:w="470"/>
        <w:gridCol w:w="459"/>
        <w:gridCol w:w="408"/>
        <w:gridCol w:w="500"/>
        <w:gridCol w:w="500"/>
        <w:gridCol w:w="500"/>
        <w:gridCol w:w="490"/>
        <w:gridCol w:w="408"/>
        <w:gridCol w:w="500"/>
        <w:gridCol w:w="500"/>
        <w:gridCol w:w="500"/>
        <w:gridCol w:w="440"/>
        <w:gridCol w:w="17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97" w:type="dxa"/>
            <w:gridSpan w:val="5"/>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行政复议</w:t>
            </w:r>
          </w:p>
        </w:tc>
        <w:tc>
          <w:tcPr>
            <w:tcW w:w="6104" w:type="dxa"/>
            <w:gridSpan w:val="10"/>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0" w:type="dxa"/>
            <w:vMerge w:val="restart"/>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结果维持</w:t>
            </w:r>
          </w:p>
        </w:tc>
        <w:tc>
          <w:tcPr>
            <w:tcW w:w="48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w:t>
            </w:r>
          </w:p>
          <w:p>
            <w:pPr>
              <w:pStyle w:val="3"/>
              <w:widowControl/>
              <w:spacing w:beforeAutospacing="0" w:afterAutospacing="0" w:line="420" w:lineRule="atLeast"/>
            </w:pPr>
            <w:r>
              <w:rPr>
                <w:rFonts w:hint="eastAsia"/>
              </w:rPr>
              <w:t>纠正</w:t>
            </w:r>
          </w:p>
        </w:tc>
        <w:tc>
          <w:tcPr>
            <w:tcW w:w="470" w:type="dxa"/>
            <w:vMerge w:val="restart"/>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其他</w:t>
            </w:r>
          </w:p>
          <w:p>
            <w:pPr>
              <w:pStyle w:val="3"/>
              <w:widowControl/>
              <w:spacing w:beforeAutospacing="0" w:afterAutospacing="0" w:line="420" w:lineRule="atLeast"/>
            </w:pPr>
            <w:r>
              <w:rPr>
                <w:rFonts w:hint="eastAsia"/>
              </w:rPr>
              <w:t>结果</w:t>
            </w:r>
          </w:p>
        </w:tc>
        <w:tc>
          <w:tcPr>
            <w:tcW w:w="459" w:type="dxa"/>
            <w:vMerge w:val="restart"/>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尚未</w:t>
            </w:r>
          </w:p>
          <w:p>
            <w:pPr>
              <w:pStyle w:val="3"/>
              <w:widowControl/>
              <w:spacing w:beforeAutospacing="0" w:afterAutospacing="0" w:line="420" w:lineRule="atLeast"/>
            </w:pPr>
            <w:r>
              <w:rPr>
                <w:rFonts w:hint="eastAsia"/>
              </w:rPr>
              <w:t>审结</w:t>
            </w:r>
          </w:p>
        </w:tc>
        <w:tc>
          <w:tcPr>
            <w:tcW w:w="408" w:type="dxa"/>
            <w:vMerge w:val="restart"/>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总计</w:t>
            </w:r>
          </w:p>
        </w:tc>
        <w:tc>
          <w:tcPr>
            <w:tcW w:w="2398" w:type="dxa"/>
            <w:gridSpan w:val="5"/>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未经复议直接起诉</w:t>
            </w:r>
          </w:p>
        </w:tc>
        <w:tc>
          <w:tcPr>
            <w:tcW w:w="3706" w:type="dxa"/>
            <w:gridSpan w:val="5"/>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0" w:type="dxa"/>
            <w:vMerge w:val="continue"/>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rPr>
                <w:rFonts w:ascii="宋体"/>
                <w:sz w:val="24"/>
              </w:rPr>
            </w:pPr>
          </w:p>
        </w:tc>
        <w:tc>
          <w:tcPr>
            <w:tcW w:w="480" w:type="dxa"/>
            <w:vMerge w:val="continue"/>
            <w:tcBorders>
              <w:top w:val="nil"/>
              <w:left w:val="nil"/>
              <w:bottom w:val="single" w:color="auto" w:sz="4" w:space="0"/>
              <w:right w:val="single" w:color="auto" w:sz="4" w:space="0"/>
            </w:tcBorders>
            <w:tcMar>
              <w:top w:w="0" w:type="dxa"/>
              <w:left w:w="84" w:type="dxa"/>
              <w:bottom w:w="0" w:type="dxa"/>
              <w:right w:w="84" w:type="dxa"/>
            </w:tcMar>
            <w:vAlign w:val="center"/>
          </w:tcPr>
          <w:p>
            <w:pPr>
              <w:rPr>
                <w:rFonts w:ascii="宋体"/>
                <w:sz w:val="24"/>
              </w:rPr>
            </w:pPr>
          </w:p>
        </w:tc>
        <w:tc>
          <w:tcPr>
            <w:tcW w:w="470" w:type="dxa"/>
            <w:vMerge w:val="continue"/>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rPr>
                <w:rFonts w:ascii="宋体"/>
                <w:sz w:val="24"/>
              </w:rPr>
            </w:pPr>
          </w:p>
        </w:tc>
        <w:tc>
          <w:tcPr>
            <w:tcW w:w="459" w:type="dxa"/>
            <w:vMerge w:val="continue"/>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rPr>
                <w:rFonts w:ascii="宋体"/>
                <w:sz w:val="24"/>
              </w:rPr>
            </w:pPr>
          </w:p>
        </w:tc>
        <w:tc>
          <w:tcPr>
            <w:tcW w:w="408" w:type="dxa"/>
            <w:vMerge w:val="continue"/>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rPr>
                <w:rFonts w:ascii="宋体"/>
                <w:sz w:val="24"/>
              </w:rPr>
            </w:pP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w:t>
            </w:r>
          </w:p>
          <w:p>
            <w:pPr>
              <w:pStyle w:val="3"/>
              <w:widowControl/>
              <w:spacing w:beforeAutospacing="0" w:afterAutospacing="0" w:line="420" w:lineRule="atLeast"/>
            </w:pPr>
            <w:r>
              <w:rPr>
                <w:rFonts w:hint="eastAsia"/>
              </w:rPr>
              <w:t>维持</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w:t>
            </w:r>
          </w:p>
          <w:p>
            <w:pPr>
              <w:pStyle w:val="3"/>
              <w:widowControl/>
              <w:spacing w:beforeAutospacing="0" w:afterAutospacing="0" w:line="420" w:lineRule="atLeast"/>
            </w:pPr>
            <w:r>
              <w:rPr>
                <w:rFonts w:hint="eastAsia"/>
              </w:rPr>
              <w:t>纠正</w:t>
            </w:r>
          </w:p>
        </w:tc>
        <w:tc>
          <w:tcPr>
            <w:tcW w:w="50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其他</w:t>
            </w:r>
          </w:p>
          <w:p>
            <w:pPr>
              <w:pStyle w:val="3"/>
              <w:widowControl/>
              <w:spacing w:beforeAutospacing="0" w:afterAutospacing="0" w:line="420" w:lineRule="atLeast"/>
            </w:pPr>
            <w:r>
              <w:rPr>
                <w:rFonts w:hint="eastAsia"/>
              </w:rPr>
              <w:t>结果</w:t>
            </w:r>
          </w:p>
        </w:tc>
        <w:tc>
          <w:tcPr>
            <w:tcW w:w="49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尚未</w:t>
            </w:r>
          </w:p>
          <w:p>
            <w:pPr>
              <w:pStyle w:val="3"/>
              <w:widowControl/>
              <w:spacing w:beforeAutospacing="0" w:afterAutospacing="0" w:line="420" w:lineRule="atLeast"/>
            </w:pPr>
            <w:r>
              <w:rPr>
                <w:rFonts w:hint="eastAsia"/>
              </w:rPr>
              <w:t>审结</w:t>
            </w:r>
          </w:p>
        </w:tc>
        <w:tc>
          <w:tcPr>
            <w:tcW w:w="408"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总计</w:t>
            </w:r>
          </w:p>
        </w:tc>
        <w:tc>
          <w:tcPr>
            <w:tcW w:w="50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w:t>
            </w:r>
          </w:p>
          <w:p>
            <w:pPr>
              <w:pStyle w:val="3"/>
              <w:widowControl/>
              <w:spacing w:beforeAutospacing="0" w:afterAutospacing="0" w:line="420" w:lineRule="atLeast"/>
            </w:pPr>
            <w:r>
              <w:rPr>
                <w:rFonts w:hint="eastAsia"/>
              </w:rPr>
              <w:t>维持</w:t>
            </w:r>
          </w:p>
        </w:tc>
        <w:tc>
          <w:tcPr>
            <w:tcW w:w="50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结果</w:t>
            </w:r>
          </w:p>
          <w:p>
            <w:pPr>
              <w:pStyle w:val="3"/>
              <w:widowControl/>
              <w:spacing w:beforeAutospacing="0" w:afterAutospacing="0" w:line="420" w:lineRule="atLeast"/>
            </w:pPr>
            <w:r>
              <w:rPr>
                <w:rFonts w:hint="eastAsia"/>
              </w:rPr>
              <w:t>纠正</w:t>
            </w:r>
          </w:p>
        </w:tc>
        <w:tc>
          <w:tcPr>
            <w:tcW w:w="50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其他</w:t>
            </w:r>
          </w:p>
          <w:p>
            <w:pPr>
              <w:pStyle w:val="3"/>
              <w:widowControl/>
              <w:spacing w:beforeAutospacing="0" w:afterAutospacing="0" w:line="420" w:lineRule="atLeast"/>
            </w:pPr>
            <w:r>
              <w:rPr>
                <w:rFonts w:hint="eastAsia"/>
              </w:rPr>
              <w:t>结果</w:t>
            </w:r>
          </w:p>
        </w:tc>
        <w:tc>
          <w:tcPr>
            <w:tcW w:w="44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尚未</w:t>
            </w:r>
          </w:p>
          <w:p>
            <w:pPr>
              <w:pStyle w:val="3"/>
              <w:widowControl/>
              <w:spacing w:beforeAutospacing="0" w:afterAutospacing="0" w:line="420" w:lineRule="atLeast"/>
            </w:pPr>
            <w:r>
              <w:rPr>
                <w:rFonts w:hint="eastAsia"/>
              </w:rPr>
              <w:t>审结</w:t>
            </w:r>
          </w:p>
        </w:tc>
        <w:tc>
          <w:tcPr>
            <w:tcW w:w="1766"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rPr>
                <w:rFonts w:hint="eastAsi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80"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7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59"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w:t>
            </w:r>
          </w:p>
        </w:tc>
        <w:tc>
          <w:tcPr>
            <w:tcW w:w="408"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9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08"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w:t>
            </w:r>
          </w:p>
        </w:tc>
        <w:tc>
          <w:tcPr>
            <w:tcW w:w="50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440"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0 </w:t>
            </w:r>
          </w:p>
        </w:tc>
        <w:tc>
          <w:tcPr>
            <w:tcW w:w="1766" w:type="dxa"/>
            <w:tcBorders>
              <w:top w:val="nil"/>
              <w:left w:val="nil"/>
              <w:bottom w:val="single" w:color="auto" w:sz="4" w:space="0"/>
              <w:right w:val="single" w:color="auto" w:sz="4" w:space="0"/>
            </w:tcBorders>
            <w:tcMar>
              <w:top w:w="0" w:type="dxa"/>
              <w:left w:w="84" w:type="dxa"/>
              <w:bottom w:w="0" w:type="dxa"/>
              <w:right w:w="84" w:type="dxa"/>
            </w:tcMar>
            <w:vAlign w:val="center"/>
          </w:tcPr>
          <w:p>
            <w:pPr>
              <w:pStyle w:val="3"/>
              <w:widowControl/>
              <w:spacing w:beforeAutospacing="0" w:afterAutospacing="0" w:line="420" w:lineRule="atLeast"/>
            </w:pPr>
            <w:r>
              <w:t>0</w:t>
            </w:r>
          </w:p>
        </w:tc>
      </w:tr>
    </w:tbl>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五、存在的主要问题及改进情况</w:t>
      </w:r>
    </w:p>
    <w:p>
      <w:pPr>
        <w:pStyle w:val="3"/>
        <w:widowControl/>
        <w:spacing w:beforeAutospacing="0" w:afterAutospacing="0" w:line="420" w:lineRule="atLeast"/>
        <w:ind w:firstLine="42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县自然资源和规划局政府信息公开工作在县政府的正确领导下，进一步完善政府信息公开制度体系建设，不断加强政务信息公开工作制度化、规范化建设。取得了一定成效，但工作中还存在一些问题：个别科室对政府信息主动公开意识不强，工作中存在应付现象，信息公开时效性也需要加强提高。下步工作中我局将及时梳理政府公开信息，对原有的政府信息公开目录进行补充完善，保证公开信息的完整性和准确性。针对不断出现的新情况、新问题、新热点，及时更新信息内容、提高信息质量，使广大群众能获取方便、及时、丰富的服务。</w:t>
      </w: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p>
    <w:p>
      <w:pPr>
        <w:pStyle w:val="3"/>
        <w:widowControl/>
        <w:spacing w:beforeAutospacing="0" w:afterAutospacing="0" w:line="56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六、其他需要报告的事项</w:t>
      </w:r>
    </w:p>
    <w:p>
      <w:pPr>
        <w:pStyle w:val="3"/>
        <w:widowControl/>
        <w:spacing w:beforeAutospacing="0" w:afterAutospacing="0" w:line="420" w:lineRule="atLeast"/>
        <w:ind w:firstLine="42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（一）本行政机关落实上级年度政务公开工作要点情况：</w:t>
      </w:r>
    </w:p>
    <w:p>
      <w:pPr>
        <w:pStyle w:val="3"/>
        <w:widowControl/>
        <w:spacing w:beforeAutospacing="0" w:afterAutospacing="0" w:line="420" w:lineRule="atLeast"/>
        <w:ind w:firstLine="42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认真贯彻落实上级年度政务公开工作要求，完成了</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年度政务公开任务。我局政府信息网上公开内容全面、符合要求。在政府信息公开方面，我局主动申请公开信息</w:t>
      </w:r>
      <w:r>
        <w:rPr>
          <w:rFonts w:hint="eastAsia" w:ascii="方正仿宋简体" w:hAnsi="方正仿宋简体" w:eastAsia="方正仿宋简体" w:cs="方正仿宋简体"/>
          <w:color w:val="000000"/>
          <w:sz w:val="32"/>
          <w:szCs w:val="32"/>
          <w:lang w:eastAsia="zh-CN"/>
        </w:rPr>
        <w:t>数量比上年有所增加，发布信息种类更加丰富，在土地征收和国土空间规划方面发布信息更加及时，</w:t>
      </w:r>
      <w:r>
        <w:rPr>
          <w:rFonts w:hint="eastAsia" w:ascii="方正仿宋简体" w:hAnsi="方正仿宋简体" w:eastAsia="方正仿宋简体" w:cs="方正仿宋简体"/>
          <w:color w:val="000000"/>
          <w:sz w:val="32"/>
          <w:szCs w:val="32"/>
        </w:rPr>
        <w:t>提高</w:t>
      </w:r>
      <w:r>
        <w:rPr>
          <w:rFonts w:hint="eastAsia" w:ascii="方正仿宋简体" w:hAnsi="方正仿宋简体" w:eastAsia="方正仿宋简体" w:cs="方正仿宋简体"/>
          <w:color w:val="000000"/>
          <w:sz w:val="32"/>
          <w:szCs w:val="32"/>
          <w:lang w:eastAsia="zh-CN"/>
        </w:rPr>
        <w:t>了</w:t>
      </w:r>
      <w:r>
        <w:rPr>
          <w:rFonts w:hint="eastAsia" w:ascii="方正仿宋简体" w:hAnsi="方正仿宋简体" w:eastAsia="方正仿宋简体" w:cs="方正仿宋简体"/>
          <w:color w:val="000000"/>
          <w:sz w:val="32"/>
          <w:szCs w:val="32"/>
        </w:rPr>
        <w:t>办事效率</w:t>
      </w:r>
      <w:r>
        <w:rPr>
          <w:rFonts w:hint="eastAsia" w:ascii="方正仿宋简体" w:hAnsi="方正仿宋简体" w:eastAsia="方正仿宋简体" w:cs="方正仿宋简体"/>
          <w:color w:val="000000"/>
          <w:sz w:val="32"/>
          <w:szCs w:val="32"/>
          <w:lang w:eastAsia="zh-CN"/>
        </w:rPr>
        <w:t>，为人民群众提供了更大的方便。</w:t>
      </w:r>
    </w:p>
    <w:p>
      <w:pPr>
        <w:pStyle w:val="3"/>
        <w:widowControl/>
        <w:spacing w:beforeAutospacing="0" w:afterAutospacing="0" w:line="420" w:lineRule="atLeast"/>
        <w:ind w:firstLine="420"/>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（二）依据《政府信息公开信息处理费管理办法》规定，我单位</w:t>
      </w:r>
      <w:r>
        <w:rPr>
          <w:rFonts w:ascii="方正楷体简体" w:hAnsi="方正楷体简体" w:eastAsia="方正楷体简体" w:cs="方正楷体简体"/>
          <w:color w:val="000000"/>
          <w:sz w:val="32"/>
          <w:szCs w:val="32"/>
        </w:rPr>
        <w:t>2023</w:t>
      </w:r>
      <w:r>
        <w:rPr>
          <w:rFonts w:hint="eastAsia" w:ascii="方正楷体简体" w:hAnsi="方正楷体简体" w:eastAsia="方正楷体简体" w:cs="方正楷体简体"/>
          <w:color w:val="000000"/>
          <w:sz w:val="32"/>
          <w:szCs w:val="32"/>
        </w:rPr>
        <w:t>年度未收取信息公开处理费。</w:t>
      </w:r>
    </w:p>
    <w:p>
      <w:pPr>
        <w:pStyle w:val="3"/>
        <w:widowControl/>
        <w:spacing w:beforeAutospacing="0" w:afterAutospacing="0" w:line="420" w:lineRule="atLeast"/>
        <w:ind w:firstLine="420"/>
        <w:rPr>
          <w:rFonts w:hint="eastAsia" w:ascii="宋体" w:hAnsi="宋体" w:cs="宋体"/>
          <w:color w:val="000000"/>
          <w:sz w:val="19"/>
          <w:szCs w:val="19"/>
        </w:rPr>
      </w:pPr>
    </w:p>
    <w:p>
      <w:pPr>
        <w:pStyle w:val="3"/>
        <w:widowControl/>
        <w:spacing w:beforeAutospacing="0" w:afterAutospacing="0" w:line="420" w:lineRule="atLeast"/>
        <w:ind w:firstLine="420"/>
        <w:rPr>
          <w:rFonts w:hint="eastAsia" w:ascii="宋体" w:hAnsi="宋体" w:cs="宋体"/>
          <w:color w:val="000000"/>
          <w:sz w:val="19"/>
          <w:szCs w:val="19"/>
        </w:rPr>
      </w:pPr>
    </w:p>
    <w:p>
      <w:pPr>
        <w:pStyle w:val="3"/>
        <w:widowControl/>
        <w:spacing w:beforeAutospacing="0" w:afterAutospacing="0" w:line="420" w:lineRule="atLeast"/>
        <w:ind w:firstLine="420"/>
        <w:rPr>
          <w:rFonts w:hint="eastAsia" w:ascii="宋体" w:hAnsi="宋体" w:cs="宋体"/>
          <w:color w:val="000000"/>
          <w:sz w:val="19"/>
          <w:szCs w:val="19"/>
        </w:rPr>
      </w:pPr>
    </w:p>
    <w:p>
      <w:pPr>
        <w:pStyle w:val="3"/>
        <w:widowControl/>
        <w:spacing w:beforeAutospacing="0" w:afterAutospacing="0" w:line="420" w:lineRule="atLeast"/>
        <w:ind w:firstLine="420"/>
        <w:rPr>
          <w:rFonts w:hint="eastAsia" w:ascii="宋体" w:hAnsi="宋体" w:cs="宋体"/>
          <w:color w:val="000000"/>
          <w:sz w:val="19"/>
          <w:szCs w:val="19"/>
        </w:rPr>
      </w:pPr>
    </w:p>
    <w:p>
      <w:pPr>
        <w:pStyle w:val="3"/>
        <w:widowControl/>
        <w:spacing w:beforeAutospacing="0" w:afterAutospacing="0" w:line="420" w:lineRule="atLeast"/>
        <w:ind w:firstLine="420"/>
        <w:rPr>
          <w:rFonts w:hint="eastAsia" w:ascii="宋体" w:hAnsi="宋体" w:cs="宋体"/>
          <w:color w:val="000000"/>
          <w:sz w:val="19"/>
          <w:szCs w:val="19"/>
        </w:rPr>
      </w:pPr>
    </w:p>
    <w:p>
      <w:pPr>
        <w:pStyle w:val="3"/>
        <w:widowControl/>
        <w:spacing w:beforeAutospacing="0" w:afterAutospacing="0" w:line="420" w:lineRule="atLeast"/>
        <w:rPr>
          <w:rFonts w:hint="eastAsia" w:ascii="宋体" w:hAnsi="宋体" w:cs="宋体"/>
          <w:color w:val="000000"/>
          <w:sz w:val="19"/>
          <w:szCs w:val="19"/>
        </w:rPr>
      </w:pPr>
    </w:p>
    <w:p>
      <w:pPr>
        <w:pStyle w:val="3"/>
        <w:widowControl/>
        <w:spacing w:beforeAutospacing="0" w:afterAutospacing="0" w:line="420" w:lineRule="atLeast"/>
        <w:rPr>
          <w:rFonts w:ascii="sans-serif" w:hAnsi="sans-serif" w:cs="sans-serif"/>
          <w:color w:val="000000"/>
          <w:sz w:val="19"/>
          <w:szCs w:val="19"/>
        </w:rPr>
      </w:pPr>
      <w:bookmarkStart w:id="0" w:name="_GoBack"/>
      <w:bookmarkEnd w:id="0"/>
      <w:r>
        <w:rPr>
          <w:rFonts w:hint="eastAsia" w:ascii="宋体" w:hAnsi="宋体" w:cs="宋体"/>
          <w:color w:val="000000"/>
          <w:sz w:val="19"/>
          <w:szCs w:val="19"/>
        </w:rPr>
        <w:t>相关附件：</w:t>
      </w:r>
    </w:p>
    <w:p>
      <w:pPr>
        <w:pStyle w:val="3"/>
        <w:widowControl/>
        <w:spacing w:beforeAutospacing="0" w:afterAutospacing="0" w:line="420" w:lineRule="atLeast"/>
        <w:ind w:firstLine="420"/>
        <w:rPr>
          <w:rFonts w:ascii="sans-serif" w:hAnsi="sans-serif" w:cs="sans-serif"/>
          <w:color w:val="000000"/>
          <w:sz w:val="19"/>
          <w:szCs w:val="19"/>
        </w:rPr>
      </w:pPr>
      <w:r>
        <w:rPr>
          <w:rFonts w:ascii="sans-serif" w:hAnsi="sans-serif" w:cs="sans-serif"/>
          <w:color w:val="000000"/>
          <w:sz w:val="19"/>
          <w:szCs w:val="19"/>
        </w:rPr>
        <w:t>         </w:t>
      </w:r>
      <w:r>
        <w:rPr>
          <w:rFonts w:hint="eastAsia" w:ascii="宋体" w:hAnsi="宋体" w:cs="宋体"/>
          <w:color w:val="000000"/>
          <w:sz w:val="19"/>
          <w:szCs w:val="19"/>
        </w:rPr>
        <w:t>【</w:t>
      </w:r>
      <w:r>
        <w:rPr>
          <w:rFonts w:ascii="sans-serif" w:hAnsi="sans-serif" w:cs="sans-serif"/>
          <w:color w:val="000000"/>
          <w:sz w:val="19"/>
          <w:szCs w:val="19"/>
        </w:rPr>
        <w:t>pdf</w:t>
      </w:r>
      <w:r>
        <w:rPr>
          <w:rFonts w:hint="eastAsia" w:ascii="宋体" w:hAnsi="宋体" w:cs="宋体"/>
          <w:color w:val="000000"/>
          <w:sz w:val="19"/>
          <w:szCs w:val="19"/>
        </w:rPr>
        <w:t>版在线阅读】</w:t>
      </w:r>
      <w:r>
        <w:fldChar w:fldCharType="begin"/>
      </w:r>
      <w:r>
        <w:instrText xml:space="preserve"> HYPERLINK "http://dlrk.jining.gov.cn/jcms/jcms_files/jcms1/web112/site/module/download/downfile.jsp?classid=0&amp;showname=%E6%A2%81%E5%B1%B1%E5%8E%BF%E8%87%AA%E7%84%B6%E8%B5%84%E6%BA%90%E5%92%8C%E8%A7%84%E5%88%92%E5%B1%802022%E5%B9%B4%E6%94%BF%E5%BA%9C%E4%BF%A1%E6%81%AF%E5%85%AC%E5%BC%80%E5%B7%A5%E4%BD%9C%E5%B9%B4%E5%BA%A6%E6%8A%A5%E5%91%8A.pdf&amp;filename=cf495e7ca092408b9954b0d7113d0539.pdf" </w:instrText>
      </w:r>
      <w:r>
        <w:fldChar w:fldCharType="separate"/>
      </w:r>
      <w:r>
        <w:rPr>
          <w:rStyle w:val="7"/>
          <w:rFonts w:ascii="sans-serif" w:hAnsi="sans-serif" w:cs="sans-serif"/>
          <w:sz w:val="19"/>
          <w:szCs w:val="19"/>
        </w:rPr>
        <w:pict>
          <v:shape id="_x0000_i1027" o:spt="75" alt="IMG_257" type="#_x0000_t75" style="height:12pt;width:12pt;" filled="f" o:preferrelative="t" stroked="f" coordsize="21600,21600">
            <v:path/>
            <v:fill on="f" focussize="0,0"/>
            <v:stroke on="f" joinstyle="miter"/>
            <v:imagedata r:id="rId6" o:title=""/>
            <o:lock v:ext="edit" aspectratio="t"/>
            <w10:wrap type="none"/>
            <w10:anchorlock/>
          </v:shape>
        </w:pict>
      </w:r>
      <w:r>
        <w:rPr>
          <w:rStyle w:val="7"/>
          <w:rFonts w:hint="eastAsia" w:ascii="宋体" w:hAnsi="宋体" w:cs="宋体"/>
          <w:sz w:val="19"/>
          <w:szCs w:val="19"/>
        </w:rPr>
        <w:t>梁山县自然资源和规划局</w:t>
      </w:r>
      <w:r>
        <w:rPr>
          <w:rStyle w:val="7"/>
          <w:rFonts w:ascii="sans-serif" w:hAnsi="sans-serif" w:cs="sans-serif"/>
          <w:sz w:val="19"/>
          <w:szCs w:val="19"/>
        </w:rPr>
        <w:t>2023</w:t>
      </w:r>
      <w:r>
        <w:rPr>
          <w:rStyle w:val="7"/>
          <w:rFonts w:hint="eastAsia" w:ascii="宋体" w:hAnsi="宋体" w:cs="宋体"/>
          <w:sz w:val="19"/>
          <w:szCs w:val="19"/>
        </w:rPr>
        <w:t>年政府信息公开工作年度报告</w:t>
      </w:r>
      <w:r>
        <w:rPr>
          <w:rStyle w:val="7"/>
          <w:rFonts w:ascii="sans-serif" w:hAnsi="sans-serif" w:cs="sans-serif"/>
          <w:sz w:val="19"/>
          <w:szCs w:val="19"/>
        </w:rPr>
        <w:t>.pdf</w:t>
      </w:r>
      <w:r>
        <w:rPr>
          <w:rStyle w:val="7"/>
          <w:rFonts w:ascii="sans-serif" w:hAnsi="sans-serif" w:cs="sans-serif"/>
          <w:sz w:val="19"/>
          <w:szCs w:val="19"/>
        </w:rPr>
        <w:fldChar w:fldCharType="end"/>
      </w:r>
    </w:p>
    <w:p>
      <w:pPr>
        <w:pStyle w:val="3"/>
        <w:widowControl/>
        <w:spacing w:beforeAutospacing="0" w:afterAutospacing="0" w:line="420" w:lineRule="atLeast"/>
        <w:ind w:firstLine="420"/>
        <w:rPr>
          <w:rFonts w:ascii="sans-serif" w:hAnsi="sans-serif" w:cs="sans-serif"/>
          <w:color w:val="000000"/>
          <w:sz w:val="19"/>
          <w:szCs w:val="19"/>
        </w:rPr>
      </w:pPr>
      <w:r>
        <w:rPr>
          <w:rFonts w:ascii="sans-serif" w:hAnsi="sans-serif" w:cs="sans-serif"/>
          <w:color w:val="000000"/>
          <w:sz w:val="19"/>
          <w:szCs w:val="19"/>
        </w:rPr>
        <w:t>         </w:t>
      </w:r>
      <w:r>
        <w:rPr>
          <w:rFonts w:hint="eastAsia" w:ascii="宋体" w:hAnsi="宋体" w:cs="宋体"/>
          <w:color w:val="000000"/>
          <w:sz w:val="19"/>
          <w:szCs w:val="19"/>
        </w:rPr>
        <w:t>【</w:t>
      </w:r>
      <w:r>
        <w:rPr>
          <w:rFonts w:ascii="sans-serif" w:hAnsi="sans-serif" w:cs="sans-serif"/>
          <w:color w:val="000000"/>
          <w:sz w:val="19"/>
          <w:szCs w:val="19"/>
        </w:rPr>
        <w:t>word</w:t>
      </w:r>
      <w:r>
        <w:rPr>
          <w:rFonts w:hint="eastAsia" w:ascii="宋体" w:hAnsi="宋体" w:cs="宋体"/>
          <w:color w:val="000000"/>
          <w:sz w:val="19"/>
          <w:szCs w:val="19"/>
        </w:rPr>
        <w:t>版下载】</w:t>
      </w:r>
      <w:r>
        <w:rPr>
          <w:rFonts w:ascii="sans-serif" w:hAnsi="sans-serif" w:cs="sans-serif"/>
          <w:color w:val="000000"/>
          <w:sz w:val="19"/>
          <w:szCs w:val="19"/>
        </w:rPr>
        <w:t>   </w:t>
      </w:r>
      <w:r>
        <w:fldChar w:fldCharType="begin"/>
      </w:r>
      <w:r>
        <w:instrText xml:space="preserve"> HYPERLINK "http://dlrk.jining.gov.cn/jcms/jcms_files/jcms1/web112/site/module/download/downfile.jsp?classid=0&amp;showname=%E6%A2%81%E5%B1%B1%E5%8E%BF%E8%87%AA%E7%84%B6%E8%B5%84%E6%BA%90%E5%92%8C%E8%A7%84%E5%88%92%E5%B1%802022%E5%B9%B4%E6%94%BF%E5%BA%9C%E4%BF%A1%E6%81%AF%E5%85%AC%E5%BC%80%E5%B7%A5%E4%BD%9C%E5%B9%B4%E5%BA%A6%E6%8A%A5%E5%91%8A.doc&amp;filename=0b2994f06fdc43c4a4b6d982673c8120.doc" </w:instrText>
      </w:r>
      <w:r>
        <w:fldChar w:fldCharType="separate"/>
      </w:r>
      <w:r>
        <w:rPr>
          <w:rStyle w:val="7"/>
          <w:rFonts w:ascii="sans-serif" w:hAnsi="sans-serif" w:cs="sans-serif"/>
          <w:sz w:val="19"/>
          <w:szCs w:val="19"/>
        </w:rPr>
        <w:pict>
          <v:shape id="_x0000_i1028" o:spt="75" alt="IMG_258" type="#_x0000_t75" style="height:12pt;width:12pt;" filled="f" o:preferrelative="t" stroked="f" coordsize="21600,21600">
            <v:path/>
            <v:fill on="f" focussize="0,0"/>
            <v:stroke on="f" joinstyle="miter"/>
            <v:imagedata r:id="rId7" o:title=""/>
            <o:lock v:ext="edit" aspectratio="t"/>
            <w10:wrap type="none"/>
            <w10:anchorlock/>
          </v:shape>
        </w:pict>
      </w:r>
      <w:r>
        <w:rPr>
          <w:rStyle w:val="7"/>
          <w:rFonts w:hint="eastAsia" w:ascii="宋体" w:hAnsi="宋体" w:cs="宋体"/>
          <w:sz w:val="19"/>
          <w:szCs w:val="19"/>
        </w:rPr>
        <w:t>梁山县自然资源和规划局</w:t>
      </w:r>
      <w:r>
        <w:rPr>
          <w:rStyle w:val="7"/>
          <w:rFonts w:ascii="sans-serif" w:hAnsi="sans-serif" w:cs="sans-serif"/>
          <w:sz w:val="19"/>
          <w:szCs w:val="19"/>
        </w:rPr>
        <w:t>2023</w:t>
      </w:r>
      <w:r>
        <w:rPr>
          <w:rStyle w:val="7"/>
          <w:rFonts w:hint="eastAsia" w:ascii="宋体" w:hAnsi="宋体" w:cs="宋体"/>
          <w:sz w:val="19"/>
          <w:szCs w:val="19"/>
        </w:rPr>
        <w:t>年政府信息公开工作年度报告</w:t>
      </w:r>
      <w:r>
        <w:rPr>
          <w:rStyle w:val="7"/>
          <w:rFonts w:ascii="sans-serif" w:hAnsi="sans-serif" w:cs="sans-serif"/>
          <w:sz w:val="19"/>
          <w:szCs w:val="19"/>
        </w:rPr>
        <w:t>.doc</w:t>
      </w:r>
      <w:r>
        <w:rPr>
          <w:rStyle w:val="7"/>
          <w:rFonts w:ascii="sans-serif" w:hAnsi="sans-serif" w:cs="sans-serif"/>
          <w:sz w:val="19"/>
          <w:szCs w:val="19"/>
        </w:rPr>
        <w:fldChar w:fldCharType="end"/>
      </w:r>
      <w:r>
        <w:rPr>
          <w:rFonts w:ascii="sans-serif" w:hAnsi="sans-serif" w:cs="sans-serif"/>
          <w:color w:val="000000"/>
          <w:sz w:val="19"/>
          <w:szCs w:val="19"/>
        </w:rPr>
        <w:t> </w:t>
      </w:r>
    </w:p>
    <w:p>
      <w:pPr>
        <w:pStyle w:val="3"/>
        <w:widowControl/>
        <w:spacing w:beforeAutospacing="0" w:afterAutospacing="0" w:line="420" w:lineRule="atLeast"/>
        <w:ind w:firstLine="420"/>
        <w:rPr>
          <w:rFonts w:ascii="sans-serif" w:hAnsi="sans-serif" w:cs="sans-serif"/>
          <w:color w:val="000000"/>
          <w:sz w:val="19"/>
          <w:szCs w:val="19"/>
        </w:rPr>
      </w:pPr>
      <w:r>
        <w:rPr>
          <w:rFonts w:ascii="sans-serif" w:hAnsi="sans-serif" w:cs="sans-serif"/>
          <w:color w:val="000000"/>
          <w:sz w:val="19"/>
          <w:szCs w:val="19"/>
        </w:rPr>
        <w:t>         </w:t>
      </w:r>
      <w:r>
        <w:rPr>
          <w:rFonts w:hint="eastAsia" w:ascii="宋体" w:hAnsi="宋体" w:cs="宋体"/>
          <w:color w:val="000000"/>
          <w:sz w:val="19"/>
          <w:szCs w:val="19"/>
        </w:rPr>
        <w:t>【年报音频朗读】</w:t>
      </w:r>
    </w:p>
    <w:p>
      <w:pPr>
        <w:pStyle w:val="3"/>
        <w:widowControl/>
        <w:spacing w:beforeAutospacing="0" w:afterAutospacing="0" w:line="396" w:lineRule="atLeast"/>
        <w:jc w:val="center"/>
        <w:rPr>
          <w:sz w:val="16"/>
          <w:szCs w:val="16"/>
        </w:rPr>
      </w:pPr>
      <w:r>
        <w:rPr>
          <w:rFonts w:hint="eastAsia" w:ascii="宋体" w:hAnsi="宋体" w:cs="宋体"/>
          <w:color w:val="548DD4"/>
          <w:sz w:val="16"/>
          <w:szCs w:val="16"/>
        </w:rPr>
        <w:t>点击收听年报语音朗读</w:t>
      </w:r>
    </w:p>
    <w:p>
      <w:pPr>
        <w:pStyle w:val="3"/>
        <w:widowControl/>
        <w:spacing w:beforeAutospacing="0" w:afterAutospacing="0" w:line="420" w:lineRule="atLeast"/>
        <w:ind w:firstLine="420"/>
        <w:rPr>
          <w:rFonts w:ascii="sans-serif" w:hAnsi="sans-serif" w:cs="sans-serif"/>
          <w:color w:val="000000"/>
          <w:sz w:val="19"/>
          <w:szCs w:val="19"/>
        </w:rPr>
      </w:pPr>
      <w:r>
        <w:rPr>
          <w:rFonts w:ascii="sans-serif" w:hAnsi="sans-serif" w:cs="sans-serif"/>
          <w:color w:val="000000"/>
          <w:sz w:val="19"/>
          <w:szCs w:val="19"/>
        </w:rPr>
        <w:t>         </w:t>
      </w:r>
      <w:r>
        <w:rPr>
          <w:rFonts w:hint="eastAsia" w:ascii="宋体" w:hAnsi="宋体" w:cs="宋体"/>
          <w:color w:val="000000"/>
          <w:sz w:val="19"/>
          <w:szCs w:val="19"/>
        </w:rPr>
        <w:t>【年报图解】</w:t>
      </w:r>
      <w:r>
        <w:fldChar w:fldCharType="begin"/>
      </w:r>
      <w:r>
        <w:instrText xml:space="preserve"> HYPERLINK "http://www.liangshan.gov.cn/art/2023/1/30/art_70657_2743249.html" \t "_blank" </w:instrText>
      </w:r>
      <w:r>
        <w:fldChar w:fldCharType="separate"/>
      </w:r>
      <w:r>
        <w:rPr>
          <w:rStyle w:val="7"/>
          <w:rFonts w:hint="eastAsia" w:ascii="宋体" w:hAnsi="宋体" w:cs="宋体"/>
          <w:sz w:val="19"/>
          <w:szCs w:val="19"/>
        </w:rPr>
        <w:t>梁山县自然资源和规划局</w:t>
      </w:r>
      <w:r>
        <w:rPr>
          <w:rStyle w:val="7"/>
          <w:rFonts w:ascii="sans-serif" w:hAnsi="sans-serif" w:cs="sans-serif"/>
          <w:sz w:val="19"/>
          <w:szCs w:val="19"/>
        </w:rPr>
        <w:t>2023</w:t>
      </w:r>
      <w:r>
        <w:rPr>
          <w:rStyle w:val="7"/>
          <w:rFonts w:hint="eastAsia" w:ascii="宋体" w:hAnsi="宋体" w:cs="宋体"/>
          <w:sz w:val="19"/>
          <w:szCs w:val="19"/>
        </w:rPr>
        <w:t>年政府信息公开工作年度报告</w:t>
      </w:r>
      <w:r>
        <w:rPr>
          <w:rStyle w:val="7"/>
          <w:rFonts w:hint="eastAsia" w:ascii="宋体" w:hAnsi="宋体" w:cs="宋体"/>
          <w:sz w:val="19"/>
          <w:szCs w:val="19"/>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04E8A3-5A5E-48DF-BD34-8B786238B0CE}"/>
  </w:font>
  <w:font w:name="方正仿宋简体">
    <w:panose1 w:val="02000000000000000000"/>
    <w:charset w:val="86"/>
    <w:family w:val="auto"/>
    <w:pitch w:val="default"/>
    <w:sig w:usb0="00000001" w:usb1="080E0000" w:usb2="00000000" w:usb3="00000000" w:csb0="00040000" w:csb1="00000000"/>
    <w:embedRegular r:id="rId2" w:fontKey="{88264161-B3D1-42AD-B27A-CF761EA4E1A3}"/>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69E5EB58-32D1-4222-9F61-7E1EB58974D7}"/>
  </w:font>
  <w:font w:name="sans-serif">
    <w:altName w:val="Segoe Print"/>
    <w:panose1 w:val="00000000000000000000"/>
    <w:charset w:val="00"/>
    <w:family w:val="auto"/>
    <w:pitch w:val="default"/>
    <w:sig w:usb0="00000000"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embedRegular r:id="rId4" w:fontKey="{C5DD489A-CCB1-45AD-B298-D43A2F744BC1}"/>
  </w:font>
  <w:font w:name="方正楷体简体">
    <w:panose1 w:val="02000000000000000000"/>
    <w:charset w:val="86"/>
    <w:family w:val="auto"/>
    <w:pitch w:val="default"/>
    <w:sig w:usb0="00000001" w:usb1="080E0000" w:usb2="00000000" w:usb3="00000000" w:csb0="00040000" w:csb1="00000000"/>
    <w:embedRegular r:id="rId5" w:fontKey="{7D5AA1A0-DFC9-4A36-ACF2-490CB5E76BC4}"/>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U0M2RmOTg0NjE2ZDViYTlhZDc2OGI0YTcwYzlmZjIifQ=="/>
  </w:docVars>
  <w:rsids>
    <w:rsidRoot w:val="16B11DE2"/>
    <w:rsid w:val="00043F85"/>
    <w:rsid w:val="00232B4C"/>
    <w:rsid w:val="00247D0E"/>
    <w:rsid w:val="0039549B"/>
    <w:rsid w:val="00410A97"/>
    <w:rsid w:val="004706B4"/>
    <w:rsid w:val="00510142"/>
    <w:rsid w:val="005575D2"/>
    <w:rsid w:val="0061277D"/>
    <w:rsid w:val="008076D7"/>
    <w:rsid w:val="00811F0E"/>
    <w:rsid w:val="0097482B"/>
    <w:rsid w:val="00995C54"/>
    <w:rsid w:val="00AD5D12"/>
    <w:rsid w:val="00B874BA"/>
    <w:rsid w:val="00BB45AD"/>
    <w:rsid w:val="00C70C79"/>
    <w:rsid w:val="00C9782B"/>
    <w:rsid w:val="00D27BB9"/>
    <w:rsid w:val="00ED5348"/>
    <w:rsid w:val="092C5778"/>
    <w:rsid w:val="16B11DE2"/>
    <w:rsid w:val="4E45017D"/>
    <w:rsid w:val="6287558A"/>
    <w:rsid w:val="755571F6"/>
    <w:rsid w:val="7935071E"/>
    <w:rsid w:val="7FB912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autoRedefine/>
    <w:uiPriority w:val="99"/>
    <w:pPr>
      <w:spacing w:after="120"/>
    </w:pPr>
    <w:rPr>
      <w:rFonts w:ascii="Times New Roman" w:hAnsi="Times New Roman"/>
    </w:rPr>
  </w:style>
  <w:style w:type="paragraph" w:styleId="3">
    <w:name w:val="Normal (Web)"/>
    <w:basedOn w:val="1"/>
    <w:autoRedefine/>
    <w:uiPriority w:val="99"/>
    <w:pPr>
      <w:spacing w:beforeAutospacing="1" w:afterAutospacing="1"/>
      <w:jc w:val="left"/>
    </w:pPr>
    <w:rPr>
      <w:kern w:val="0"/>
      <w:sz w:val="24"/>
    </w:rPr>
  </w:style>
  <w:style w:type="paragraph" w:styleId="4">
    <w:name w:val="Body Text First Indent"/>
    <w:basedOn w:val="2"/>
    <w:link w:val="9"/>
    <w:autoRedefine/>
    <w:qFormat/>
    <w:uiPriority w:val="99"/>
    <w:pPr>
      <w:ind w:firstLine="420" w:firstLineChars="100"/>
    </w:pPr>
    <w:rPr>
      <w:rFonts w:eastAsia="楷体"/>
      <w:sz w:val="28"/>
    </w:rPr>
  </w:style>
  <w:style w:type="character" w:styleId="7">
    <w:name w:val="Hyperlink"/>
    <w:basedOn w:val="6"/>
    <w:uiPriority w:val="99"/>
    <w:rPr>
      <w:rFonts w:cs="Times New Roman"/>
      <w:color w:val="0000FF"/>
      <w:u w:val="single"/>
    </w:rPr>
  </w:style>
  <w:style w:type="character" w:customStyle="1" w:styleId="8">
    <w:name w:val="Body Text Char"/>
    <w:basedOn w:val="6"/>
    <w:link w:val="2"/>
    <w:semiHidden/>
    <w:locked/>
    <w:uiPriority w:val="99"/>
    <w:rPr>
      <w:rFonts w:cs="Times New Roman"/>
      <w:sz w:val="24"/>
      <w:szCs w:val="24"/>
    </w:rPr>
  </w:style>
  <w:style w:type="character" w:customStyle="1" w:styleId="9">
    <w:name w:val="Body Text First Indent Char"/>
    <w:basedOn w:val="8"/>
    <w:link w:val="4"/>
    <w:semiHidden/>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2553</Words>
  <Characters>2663</Characters>
  <Lines>0</Lines>
  <Paragraphs>0</Paragraphs>
  <TotalTime>3</TotalTime>
  <ScaleCrop>false</ScaleCrop>
  <LinksUpToDate>false</LinksUpToDate>
  <CharactersWithSpaces>2787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2024-01-17T02:44:00Z</dcterms:created>
  <dc:creator>伊谢尔伦的风</dc:creator>
  <cp:lastModifiedBy>伊谢尔伦的风</cp:lastModifiedBy>
  <dcterms:modified xsi:type="dcterms:W3CDTF">2024-01-26T06:56:50Z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3332E3BF546E4D21A2CB8B2FDF9FFA35_13</vt:lpwstr>
  </property>
</Properties>
</file>