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shd w:val="clear" w:fill="FFFFFF"/>
        </w:rPr>
      </w:pPr>
      <w:r>
        <w:rPr>
          <w:rFonts w:hint="eastAsia" w:ascii="方正小标宋简体" w:hAnsi="方正小标宋简体" w:eastAsia="方正小标宋简体" w:cs="方正小标宋简体"/>
          <w:b/>
          <w:bCs w:val="0"/>
          <w:i w:val="0"/>
          <w:caps w:val="0"/>
          <w:color w:val="333333"/>
          <w:spacing w:val="0"/>
          <w:sz w:val="44"/>
          <w:szCs w:val="44"/>
          <w:shd w:val="clear" w:fill="FFFFFF"/>
          <w:lang w:val="en-US" w:eastAsia="zh-CN"/>
        </w:rPr>
        <w:t>梁山县教育和体育局</w:t>
      </w:r>
      <w:r>
        <w:rPr>
          <w:rFonts w:hint="eastAsia" w:ascii="方正小标宋简体" w:hAnsi="方正小标宋简体" w:eastAsia="方正小标宋简体" w:cs="方正小标宋简体"/>
          <w:b/>
          <w:bCs w:val="0"/>
          <w:i w:val="0"/>
          <w:caps w:val="0"/>
          <w:color w:val="333333"/>
          <w:spacing w:val="-17"/>
          <w:sz w:val="44"/>
          <w:szCs w:val="44"/>
          <w:shd w:val="clear" w:fill="FFFFFF"/>
          <w:lang w:val="en-US" w:eastAsia="zh-CN"/>
        </w:rPr>
        <w:t>2022年</w:t>
      </w:r>
      <w:r>
        <w:rPr>
          <w:rFonts w:hint="eastAsia" w:ascii="方正小标宋简体" w:hAnsi="方正小标宋简体" w:eastAsia="方正小标宋简体" w:cs="方正小标宋简体"/>
          <w:b/>
          <w:bCs w:val="0"/>
          <w:i w:val="0"/>
          <w:caps w:val="0"/>
          <w:color w:val="333333"/>
          <w:spacing w:val="-17"/>
          <w:sz w:val="44"/>
          <w:szCs w:val="44"/>
          <w:shd w:val="clear" w:fill="FFFFFF"/>
        </w:rPr>
        <w:t>政府信息公开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rPr>
      </w:pPr>
      <w:r>
        <w:rPr>
          <w:rFonts w:hint="eastAsia" w:ascii="方正小标宋简体" w:hAnsi="方正小标宋简体" w:eastAsia="方正小标宋简体" w:cs="方正小标宋简体"/>
          <w:b/>
          <w:bCs w:val="0"/>
          <w:i w:val="0"/>
          <w:caps w:val="0"/>
          <w:color w:val="333333"/>
          <w:spacing w:val="-17"/>
          <w:sz w:val="44"/>
          <w:szCs w:val="44"/>
          <w:shd w:val="clear" w:fill="FFFFFF"/>
        </w:rPr>
        <w:t>工作</w:t>
      </w:r>
      <w:r>
        <w:rPr>
          <w:rFonts w:hint="eastAsia" w:ascii="方正小标宋简体" w:hAnsi="方正小标宋简体" w:eastAsia="方正小标宋简体" w:cs="方正小标宋简体"/>
          <w:b/>
          <w:bCs w:val="0"/>
          <w:i w:val="0"/>
          <w:caps w:val="0"/>
          <w:color w:val="333333"/>
          <w:spacing w:val="0"/>
          <w:sz w:val="44"/>
          <w:szCs w:val="44"/>
          <w:shd w:val="clear" w:fill="FFFFFF"/>
        </w:rPr>
        <w:t>年度报告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val="0"/>
          <w:i w:val="0"/>
          <w:caps w:val="0"/>
          <w:color w:val="333333"/>
          <w:spacing w:val="0"/>
          <w:sz w:val="24"/>
          <w:szCs w:val="24"/>
        </w:rPr>
      </w:pPr>
    </w:p>
    <w:p>
      <w:pPr>
        <w:spacing w:line="590" w:lineRule="exact"/>
        <w:ind w:right="-105" w:rightChars="-50" w:firstLine="643" w:firstLineChars="200"/>
        <w:rPr>
          <w:rFonts w:ascii="方正仿宋简体" w:eastAsia="方正仿宋简体"/>
          <w:b/>
          <w:bCs w:val="0"/>
          <w:color w:val="000000"/>
          <w:spacing w:val="-11"/>
          <w:sz w:val="32"/>
          <w:szCs w:val="32"/>
        </w:rPr>
      </w:pPr>
      <w:r>
        <w:rPr>
          <w:rFonts w:hint="eastAsia" w:ascii="方正仿宋简体" w:eastAsia="方正仿宋简体"/>
          <w:b/>
          <w:bCs w:val="0"/>
          <w:color w:val="000000"/>
          <w:sz w:val="32"/>
          <w:szCs w:val="32"/>
        </w:rPr>
        <w:t>本报告由</w:t>
      </w:r>
      <w:r>
        <w:rPr>
          <w:rFonts w:hint="eastAsia" w:ascii="方正仿宋简体" w:eastAsia="方正仿宋简体"/>
          <w:b/>
          <w:bCs w:val="0"/>
          <w:color w:val="000000"/>
          <w:sz w:val="32"/>
          <w:szCs w:val="32"/>
          <w:lang w:val="en-US" w:eastAsia="zh-CN"/>
        </w:rPr>
        <w:t>梁山县教育和体育局</w:t>
      </w:r>
      <w:r>
        <w:rPr>
          <w:rFonts w:hint="eastAsia" w:ascii="方正仿宋简体" w:eastAsia="方正仿宋简体"/>
          <w:b/>
          <w:bCs w:val="0"/>
          <w:color w:val="000000"/>
          <w:sz w:val="32"/>
          <w:szCs w:val="32"/>
        </w:rPr>
        <w:t>按照《中华人民共和国政府信息公开条例》（以下简称《条例》）和《中华人民共和国政府信息</w:t>
      </w:r>
      <w:r>
        <w:rPr>
          <w:rFonts w:hint="eastAsia" w:ascii="方正仿宋简体" w:eastAsia="方正仿宋简体"/>
          <w:b/>
          <w:bCs w:val="0"/>
          <w:color w:val="000000"/>
          <w:spacing w:val="-11"/>
          <w:sz w:val="32"/>
          <w:szCs w:val="32"/>
        </w:rPr>
        <w:t>公开工作年度报告格式》（国办公开办函〔2021〕30号）要求编制。</w:t>
      </w:r>
    </w:p>
    <w:p>
      <w:pPr>
        <w:spacing w:line="590" w:lineRule="exact"/>
        <w:ind w:right="-105" w:rightChars="-50" w:firstLine="643" w:firstLineChars="200"/>
        <w:rPr>
          <w:rFonts w:ascii="方正仿宋简体" w:eastAsia="方正仿宋简体"/>
          <w:b/>
          <w:bCs w:val="0"/>
          <w:color w:val="000000"/>
          <w:sz w:val="32"/>
          <w:szCs w:val="32"/>
        </w:rPr>
      </w:pPr>
      <w:r>
        <w:rPr>
          <w:rFonts w:hint="eastAsia" w:ascii="方正仿宋简体" w:eastAsia="方正仿宋简体"/>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rPr>
      </w:pPr>
      <w:r>
        <w:rPr>
          <w:rFonts w:hint="eastAsia" w:ascii="方正仿宋简体" w:eastAsia="方正仿宋简体"/>
          <w:b/>
          <w:bCs w:val="0"/>
          <w:color w:val="000000"/>
          <w:sz w:val="32"/>
          <w:szCs w:val="32"/>
        </w:rPr>
        <w:t>本报告所列数据的统计期限自2022年1月1日起至2022年12月31日止。本报告电子版可在梁山县政府门户网站（www.liangshan.gov.cn）查阅或下载。如对本报告有疑问，请与梁山县教育和体育局办公室联系（地址：梁山县新城办公区二号楼1001室，联系电话：0537-7322487）。</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val="0"/>
          <w:i w:val="0"/>
          <w:caps w:val="0"/>
          <w:color w:val="333333"/>
          <w:spacing w:val="0"/>
          <w:sz w:val="32"/>
          <w:szCs w:val="32"/>
          <w:shd w:val="clear" w:fill="FFFFFF"/>
        </w:rPr>
      </w:pPr>
      <w:r>
        <w:rPr>
          <w:rFonts w:hint="eastAsia" w:ascii="黑体" w:hAnsi="黑体" w:eastAsia="黑体" w:cs="黑体"/>
          <w:b/>
          <w:bCs w:val="0"/>
          <w:i w:val="0"/>
          <w:caps w:val="0"/>
          <w:color w:val="333333"/>
          <w:spacing w:val="0"/>
          <w:sz w:val="32"/>
          <w:szCs w:val="32"/>
          <w:shd w:val="clear" w:fill="FFFFFF"/>
        </w:rPr>
        <w:t>总体情况</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2022年，梁山县教育和体育局认真贯彻落实《中华人民共和国政府信息公开条例》要求，根据政务公开重点工作任务分工，把政务公开与部门工作相结合，积极做好政府信息公开平台的维护、更新工作和依申请公开的回复工作。重新制定《梁山县教育和体育局政务公开工作制度》，细化公开目录，调整重点领域教育公开栏目，全年共公开政府信息  条。</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仿宋简体" w:eastAsia="方正仿宋简体"/>
          <w:b/>
          <w:bCs w:val="0"/>
          <w:color w:val="000000"/>
          <w:sz w:val="32"/>
          <w:szCs w:val="32"/>
          <w:lang w:val="en-US" w:eastAsia="zh-CN"/>
        </w:rPr>
      </w:pPr>
      <w:r>
        <w:rPr>
          <w:rFonts w:hint="eastAsia" w:ascii="方正楷体简体" w:eastAsia="方正楷体简体"/>
          <w:b/>
          <w:bCs w:val="0"/>
          <w:color w:val="000000"/>
          <w:sz w:val="32"/>
          <w:szCs w:val="32"/>
        </w:rPr>
        <w:t>主动公开情况</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default"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2021年1月1日至2021年12月31日我单位在梁山县政府网发布118条政务信息。其中，主动公开组织机构1条，财政预决算2条，重点领域22条，提案建议48条，公告公示16条，“双随机、一公开”监管4条，行政执法公示专栏2条，法治政府建设专栏1条，招聘专题22条。微信公众号发布信息127条，多为转发国务院教育体育方面的权威信息、政策解读，梁山县教育体育重要动态，招生考试相关信息等。指导学校责任单位发布43条。</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3" w:firstLineChars="200"/>
        <w:jc w:val="both"/>
        <w:rPr>
          <w:rFonts w:hint="eastAsia" w:ascii="方正楷体简体" w:eastAsia="方正楷体简体"/>
          <w:b/>
          <w:bCs w:val="0"/>
          <w:color w:val="000000"/>
          <w:sz w:val="32"/>
          <w:szCs w:val="32"/>
        </w:rPr>
      </w:pPr>
      <w:r>
        <w:rPr>
          <w:rFonts w:hint="eastAsia" w:ascii="方正楷体简体" w:eastAsia="方正楷体简体"/>
          <w:b/>
          <w:bCs w:val="0"/>
          <w:color w:val="000000"/>
          <w:sz w:val="32"/>
          <w:szCs w:val="32"/>
        </w:rPr>
        <w:t>依申请公开情况</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2022年梁山县教育和体育局收到政府信息公开申请数1件，符合主动公开范围，按时答复1件，无收费情况。与往年相比数量减少。</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both"/>
        <w:rPr>
          <w:rFonts w:hint="eastAsia" w:ascii="方正楷体简体" w:eastAsia="方正楷体简体"/>
          <w:b/>
          <w:bCs w:val="0"/>
          <w:color w:val="000000"/>
          <w:sz w:val="32"/>
          <w:szCs w:val="32"/>
        </w:rPr>
      </w:pPr>
      <w:r>
        <w:rPr>
          <w:rFonts w:hint="eastAsia" w:ascii="方正仿宋简体" w:eastAsia="方正仿宋简体"/>
          <w:b/>
          <w:bCs w:val="0"/>
          <w:color w:val="000000"/>
          <w:sz w:val="32"/>
          <w:szCs w:val="32"/>
          <w:lang w:val="en-US" w:eastAsia="zh-CN"/>
        </w:rPr>
        <w:t>（三）</w:t>
      </w:r>
      <w:r>
        <w:rPr>
          <w:rFonts w:hint="eastAsia" w:ascii="方正楷体简体" w:eastAsia="方正楷体简体"/>
          <w:b/>
          <w:bCs w:val="0"/>
          <w:color w:val="000000"/>
          <w:sz w:val="32"/>
          <w:szCs w:val="32"/>
        </w:rPr>
        <w:t>政府信息管理情况</w:t>
      </w:r>
    </w:p>
    <w:p>
      <w:pPr>
        <w:numPr>
          <w:numId w:val="0"/>
        </w:numPr>
        <w:spacing w:line="590" w:lineRule="exact"/>
        <w:ind w:right="-105" w:rightChars="-50" w:firstLine="643" w:firstLineChars="200"/>
        <w:rPr>
          <w:rFonts w:hint="default"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2022年11月印发《梁山县教育和体育局机关工作规章制度》，重新修订《政务公开工作制度》，对主动公开信息和依申请公开信息分别进行说明，完善了公开内容、公开渠道和公开流程，规范了信息保密审查步骤和信息公布时限。在文件中增加了学校的政务公开工作责任，县教体局办公室负责对学校进行调度和指导。政务公开工作纳入普通中小学教育教学督导评估细则，督促学校做好政策解读和信息发布。</w:t>
      </w:r>
    </w:p>
    <w:p>
      <w:pPr>
        <w:spacing w:line="590" w:lineRule="exact"/>
        <w:ind w:right="-105" w:rightChars="-50" w:firstLine="643" w:firstLineChars="200"/>
        <w:rPr>
          <w:rFonts w:ascii="方正楷体简体" w:eastAsia="方正楷体简体"/>
          <w:b/>
          <w:bCs w:val="0"/>
          <w:color w:val="000000"/>
          <w:sz w:val="32"/>
          <w:szCs w:val="32"/>
        </w:rPr>
      </w:pPr>
      <w:bookmarkStart w:id="10" w:name="_GoBack"/>
      <w:bookmarkEnd w:id="10"/>
      <w:r>
        <w:rPr>
          <w:rFonts w:hint="eastAsia" w:ascii="方正楷体简体" w:eastAsia="方正楷体简体"/>
          <w:b/>
          <w:bCs w:val="0"/>
          <w:color w:val="000000"/>
          <w:sz w:val="32"/>
          <w:szCs w:val="32"/>
        </w:rPr>
        <w:t>（四）政府信息公开平台建设情况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本单位主要通过政府网站（梁山县人民政府）、微信公众号（梁山县教体局）进行政务公开工作。政府网站实行集约化建设，受县政府统一运维监管，是本单位政务公开的第一平台，由局办公室负责管理。微信公众号由局融媒体中心负责管理，具有灵活性和普适性，受众广泛。为更好地服务群众，今年，在县政府的指导下，根据群众最关心、最迫切的需求，我们细化了政府网站中的教育专栏，旗下分成“学前教育”“义务教育”“职业教育”三类，“义务教育”又包含教育概况、学校名录、招生管理、学生管理等内容，进一步方便了群众的检索和浏览。</w:t>
      </w:r>
    </w:p>
    <w:p>
      <w:pPr>
        <w:spacing w:line="590" w:lineRule="exact"/>
        <w:ind w:right="-105" w:rightChars="-50" w:firstLine="643" w:firstLineChars="200"/>
        <w:rPr>
          <w:rFonts w:ascii="方正楷体简体" w:eastAsia="方正楷体简体"/>
          <w:b/>
          <w:bCs w:val="0"/>
          <w:color w:val="000000"/>
          <w:sz w:val="32"/>
          <w:szCs w:val="32"/>
        </w:rPr>
      </w:pPr>
      <w:r>
        <w:rPr>
          <w:rFonts w:hint="eastAsia" w:ascii="方正楷体简体" w:eastAsia="方正楷体简体"/>
          <w:b/>
          <w:bCs w:val="0"/>
          <w:color w:val="000000"/>
          <w:sz w:val="32"/>
          <w:szCs w:val="32"/>
        </w:rPr>
        <w:t>（五）监督保障情况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本单位建立健全了政务公开工作协调机制，将政务公开工作列入局领导责任分工，要求学校相应成立信息公开领导小组，明确专人负责学校的政务公开工作。组织梁山一中、梁山县实验中学、梁山县第二中学、梁山县第一实验小学、梁山县第二实验小学五所学校政务公开工作负责人，参加县政府举办的各类政务公开工作培训会。政务公开工作纳入单位年度考核范畴，切实强化政务公开监管，助推政务公开标准化、规范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val="0"/>
          <w:i w:val="0"/>
          <w:caps w:val="0"/>
          <w:color w:val="333333"/>
          <w:spacing w:val="0"/>
          <w:sz w:val="32"/>
          <w:szCs w:val="32"/>
        </w:rPr>
      </w:pPr>
      <w:r>
        <w:rPr>
          <w:rFonts w:hint="eastAsia" w:ascii="黑体" w:hAnsi="黑体" w:eastAsia="黑体" w:cs="黑体"/>
          <w:b/>
          <w:bCs w:val="0"/>
          <w:i w:val="0"/>
          <w:caps w:val="0"/>
          <w:color w:val="333333"/>
          <w:spacing w:val="0"/>
          <w:sz w:val="32"/>
          <w:szCs w:val="32"/>
          <w:shd w:val="clear" w:fill="FFFFFF"/>
        </w:rPr>
        <w:t>二、主动公开政府信息情况</w:t>
      </w:r>
    </w:p>
    <w:tbl>
      <w:tblPr>
        <w:tblStyle w:val="8"/>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bCs w:val="0"/>
                <w:sz w:val="24"/>
              </w:rPr>
            </w:pPr>
            <w:r>
              <w:rPr>
                <w:rFonts w:hint="eastAsia" w:ascii="方正黑体简体" w:hAnsi="宋体" w:eastAsia="方正黑体简体" w:cs="宋体"/>
                <w:b/>
                <w:bCs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bidi="ar"/>
              </w:rPr>
              <w:t>　　</w:t>
            </w:r>
            <w:r>
              <w:rPr>
                <w:rFonts w:hint="eastAsia" w:ascii="方正仿宋简体" w:hAnsi="宋体" w:eastAsia="方正仿宋简体" w:cs="宋体"/>
                <w:b/>
                <w:bCs w:val="0"/>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bidi="ar"/>
              </w:rPr>
              <w:t> 　</w:t>
            </w:r>
            <w:r>
              <w:rPr>
                <w:rFonts w:hint="eastAsia" w:ascii="方正仿宋简体" w:hAnsi="宋体" w:eastAsia="方正仿宋简体" w:cs="宋体"/>
                <w:b/>
                <w:bCs w:val="0"/>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Calibri" w:eastAsia="方正仿宋简体" w:cs="Calibri"/>
                <w:b/>
                <w:bCs w:val="0"/>
                <w:sz w:val="24"/>
                <w:lang w:bidi="ar"/>
              </w:rPr>
              <w:t> </w:t>
            </w:r>
            <w:r>
              <w:rPr>
                <w:rFonts w:hint="eastAsia" w:ascii="方正仿宋简体" w:hAnsi="Calibri" w:eastAsia="方正仿宋简体" w:cs="Calibri"/>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bidi="ar"/>
              </w:rPr>
              <w:t>　　</w:t>
            </w:r>
            <w:r>
              <w:rPr>
                <w:rFonts w:hint="eastAsia" w:ascii="方正仿宋简体" w:hAnsi="宋体" w:eastAsia="方正仿宋简体" w:cs="宋体"/>
                <w:b/>
                <w:bCs w:val="0"/>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bidi="ar"/>
              </w:rPr>
              <w:t> 　</w:t>
            </w:r>
            <w:r>
              <w:rPr>
                <w:rFonts w:hint="eastAsia" w:ascii="方正仿宋简体" w:hAnsi="宋体" w:eastAsia="方正仿宋简体" w:cs="宋体"/>
                <w:b/>
                <w:bCs w:val="0"/>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Calibri" w:eastAsia="方正仿宋简体" w:cs="Calibri"/>
                <w:b/>
                <w:bCs w:val="0"/>
                <w:sz w:val="24"/>
                <w:lang w:bidi="ar"/>
              </w:rPr>
              <w:t> </w:t>
            </w:r>
            <w:r>
              <w:rPr>
                <w:rFonts w:hint="eastAsia" w:ascii="方正仿宋简体" w:hAnsi="Calibri" w:eastAsia="方正仿宋简体" w:cs="Calibri"/>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黑体简体" w:hAnsi="宋体" w:eastAsia="方正黑体简体" w:cs="宋体"/>
                <w:b/>
                <w:bCs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Calibri" w:eastAsia="方正仿宋简体" w:cs="Calibri"/>
                <w:b/>
                <w:bCs w:val="0"/>
                <w:sz w:val="24"/>
                <w:lang w:bidi="ar"/>
              </w:rPr>
              <w:t> </w:t>
            </w:r>
            <w:r>
              <w:rPr>
                <w:rFonts w:hint="eastAsia" w:ascii="方正仿宋简体" w:hAnsi="Calibri" w:eastAsia="方正仿宋简体" w:cs="Calibri"/>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黑体简体" w:hAnsi="宋体" w:eastAsia="方正黑体简体" w:cs="宋体"/>
                <w:b/>
                <w:bCs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bCs w:val="0"/>
                <w:sz w:val="24"/>
                <w:lang w:val="en-US" w:eastAsia="zh-CN"/>
              </w:rPr>
            </w:pPr>
            <w:r>
              <w:rPr>
                <w:rFonts w:hint="eastAsia" w:ascii="方正仿宋简体" w:hAnsi="宋体" w:eastAsia="方正仿宋简体" w:cs="宋体"/>
                <w:b/>
                <w:bCs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黑体简体" w:hAnsi="宋体" w:eastAsia="方正黑体简体" w:cs="宋体"/>
                <w:b/>
                <w:bCs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bCs w:val="0"/>
                <w:sz w:val="24"/>
              </w:rPr>
            </w:pPr>
            <w:r>
              <w:rPr>
                <w:rFonts w:hint="eastAsia" w:ascii="方正仿宋简体" w:hAnsi="宋体" w:eastAsia="方正仿宋简体" w:cs="宋体"/>
                <w:b/>
                <w:bCs w:val="0"/>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bCs w:val="0"/>
                <w:sz w:val="24"/>
              </w:rPr>
            </w:pPr>
            <w:r>
              <w:rPr>
                <w:rFonts w:hint="eastAsia" w:ascii="方正仿宋简体" w:hAnsi="宋体" w:eastAsia="方正仿宋简体" w:cs="宋体"/>
                <w:b/>
                <w:bCs w:val="0"/>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eastAsia" w:ascii="方正仿宋简体" w:eastAsia="方正仿宋简体"/>
                <w:b/>
                <w:bCs w:val="0"/>
                <w:sz w:val="24"/>
                <w:lang w:val="en-US" w:eastAsia="zh-CN"/>
              </w:rPr>
            </w:pPr>
            <w:r>
              <w:rPr>
                <w:rFonts w:hint="eastAsia" w:ascii="方正仿宋简体" w:eastAsia="方正仿宋简体"/>
                <w:b/>
                <w:bCs w:val="0"/>
                <w:sz w:val="24"/>
                <w:lang w:val="en-US" w:eastAsia="zh-CN"/>
              </w:rPr>
              <w:t>0</w:t>
            </w:r>
          </w:p>
        </w:tc>
      </w:tr>
    </w:tbl>
    <w:p>
      <w:pPr>
        <w:rPr>
          <w:rFonts w:hint="eastAsia" w:ascii="黑体" w:hAnsi="黑体" w:eastAsia="黑体" w:cs="黑体"/>
          <w:b/>
          <w:bCs w:val="0"/>
          <w:i w:val="0"/>
          <w:caps w:val="0"/>
          <w:color w:val="333333"/>
          <w:spacing w:val="0"/>
          <w:kern w:val="0"/>
          <w:sz w:val="32"/>
          <w:szCs w:val="32"/>
          <w:shd w:val="clear" w:fill="FFFFFF"/>
          <w:lang w:val="en-US" w:eastAsia="zh-CN" w:bidi="ar"/>
        </w:rPr>
      </w:pPr>
    </w:p>
    <w:p>
      <w:pPr>
        <w:rPr>
          <w:rFonts w:hint="eastAsia" w:ascii="黑体" w:hAnsi="黑体" w:eastAsia="黑体" w:cs="黑体"/>
          <w:b/>
          <w:bCs w:val="0"/>
          <w:i w:val="0"/>
          <w:caps w:val="0"/>
          <w:color w:val="333333"/>
          <w:spacing w:val="0"/>
          <w:kern w:val="0"/>
          <w:sz w:val="32"/>
          <w:szCs w:val="32"/>
          <w:shd w:val="clear" w:fill="FFFFFF"/>
          <w:lang w:val="en-US" w:eastAsia="zh-CN" w:bidi="ar"/>
        </w:rPr>
      </w:pPr>
      <w:r>
        <w:rPr>
          <w:rFonts w:hint="eastAsia" w:ascii="黑体" w:hAnsi="黑体" w:eastAsia="黑体" w:cs="黑体"/>
          <w:b/>
          <w:bCs w:val="0"/>
          <w:i w:val="0"/>
          <w:caps w:val="0"/>
          <w:color w:val="333333"/>
          <w:spacing w:val="0"/>
          <w:kern w:val="0"/>
          <w:sz w:val="32"/>
          <w:szCs w:val="32"/>
          <w:shd w:val="clear" w:fill="FFFFFF"/>
          <w:lang w:val="en-US" w:eastAsia="zh-CN" w:bidi="ar"/>
        </w:rPr>
        <w:t>三、收到和处理政府信息公开申请情况</w:t>
      </w:r>
    </w:p>
    <w:tbl>
      <w:tblPr>
        <w:tblStyle w:val="8"/>
        <w:tblW w:w="954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b/>
                <w:bCs w:val="0"/>
                <w:kern w:val="0"/>
                <w:szCs w:val="21"/>
              </w:rPr>
            </w:pPr>
            <w:r>
              <w:rPr>
                <w:rFonts w:hint="eastAsia" w:ascii="楷体_GB2312" w:hAnsi="黑体" w:eastAsia="楷体_GB2312"/>
                <w:b/>
                <w:bCs w:val="0"/>
                <w:kern w:val="0"/>
                <w:szCs w:val="21"/>
              </w:rPr>
              <w:t>（本列数据的勾稽关系为：第一项加第二项之和，</w:t>
            </w:r>
          </w:p>
          <w:p>
            <w:pPr>
              <w:widowControl/>
              <w:jc w:val="center"/>
              <w:rPr>
                <w:rFonts w:ascii="仿宋_GB2312" w:hAnsi="Times New Roman" w:eastAsia="仿宋_GB2312"/>
                <w:b/>
                <w:bCs w:val="0"/>
                <w:szCs w:val="21"/>
              </w:rPr>
            </w:pPr>
            <w:r>
              <w:rPr>
                <w:rFonts w:hint="eastAsia" w:ascii="楷体_GB2312" w:hAnsi="黑体" w:eastAsia="楷体_GB2312"/>
                <w:b/>
                <w:bCs w:val="0"/>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b/>
                <w:bCs w:val="0"/>
                <w:szCs w:val="21"/>
              </w:rPr>
            </w:pPr>
            <w:r>
              <w:rPr>
                <w:rFonts w:hint="eastAsia" w:ascii="黑体" w:hAnsi="黑体" w:eastAsia="黑体"/>
                <w:b/>
                <w:bCs w:val="0"/>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b/>
                <w:bCs w:val="0"/>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b/>
                <w:bCs w:val="0"/>
                <w:szCs w:val="21"/>
              </w:rPr>
            </w:pPr>
            <w:r>
              <w:rPr>
                <w:rFonts w:hint="eastAsia" w:ascii="黑体" w:hAnsi="黑体" w:eastAsia="黑体"/>
                <w:b/>
                <w:bCs w:val="0"/>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b/>
                <w:bCs w:val="0"/>
                <w:szCs w:val="21"/>
              </w:rPr>
            </w:pPr>
            <w:r>
              <w:rPr>
                <w:rFonts w:hint="eastAsia" w:ascii="黑体" w:hAnsi="黑体" w:eastAsia="黑体"/>
                <w:b/>
                <w:bCs w:val="0"/>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b/>
                <w:bCs w:val="0"/>
                <w:szCs w:val="21"/>
              </w:rPr>
            </w:pPr>
            <w:r>
              <w:rPr>
                <w:rFonts w:hint="eastAsia" w:ascii="黑体" w:hAnsi="黑体" w:eastAsia="黑体"/>
                <w:b/>
                <w:bCs w:val="0"/>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b/>
                <w:bCs w:val="0"/>
                <w:szCs w:val="21"/>
              </w:rPr>
            </w:pPr>
          </w:p>
        </w:tc>
        <w:tc>
          <w:tcPr>
            <w:tcW w:w="747" w:type="dxa"/>
            <w:vMerge w:val="continue"/>
            <w:shd w:val="clear" w:color="auto" w:fill="auto"/>
            <w:tcMar>
              <w:left w:w="108" w:type="dxa"/>
              <w:right w:w="108" w:type="dxa"/>
            </w:tcMar>
            <w:vAlign w:val="center"/>
          </w:tcPr>
          <w:p>
            <w:pPr>
              <w:jc w:val="center"/>
              <w:rPr>
                <w:rFonts w:ascii="黑体" w:hAnsi="黑体" w:eastAsia="黑体"/>
                <w:b/>
                <w:bCs w:val="0"/>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val="0"/>
                <w:szCs w:val="21"/>
              </w:rPr>
            </w:pPr>
            <w:r>
              <w:rPr>
                <w:rFonts w:hint="eastAsia" w:ascii="黑体" w:hAnsi="黑体" w:eastAsia="黑体"/>
                <w:b/>
                <w:bCs w:val="0"/>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val="0"/>
                <w:szCs w:val="21"/>
              </w:rPr>
            </w:pPr>
            <w:r>
              <w:rPr>
                <w:rFonts w:hint="eastAsia" w:ascii="黑体" w:hAnsi="黑体" w:eastAsia="黑体"/>
                <w:b/>
                <w:bCs w:val="0"/>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val="0"/>
                <w:szCs w:val="21"/>
              </w:rPr>
            </w:pPr>
            <w:r>
              <w:rPr>
                <w:rFonts w:hint="eastAsia" w:ascii="黑体" w:hAnsi="黑体" w:eastAsia="黑体"/>
                <w:b/>
                <w:bCs w:val="0"/>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val="0"/>
                <w:szCs w:val="21"/>
              </w:rPr>
            </w:pPr>
            <w:r>
              <w:rPr>
                <w:rFonts w:hint="eastAsia" w:ascii="黑体" w:hAnsi="黑体" w:eastAsia="黑体"/>
                <w:b/>
                <w:bCs w:val="0"/>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b/>
                <w:bCs w:val="0"/>
                <w:szCs w:val="21"/>
              </w:rPr>
            </w:pPr>
            <w:r>
              <w:rPr>
                <w:rFonts w:hint="eastAsia" w:ascii="黑体" w:hAnsi="黑体" w:eastAsia="黑体"/>
                <w:b/>
                <w:bCs w:val="0"/>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b/>
                <w:bCs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b/>
                <w:bCs w:val="0"/>
                <w:szCs w:val="21"/>
              </w:rPr>
            </w:pPr>
            <w:r>
              <w:rPr>
                <w:rFonts w:hint="eastAsia" w:ascii="黑体" w:hAnsi="黑体" w:eastAsia="黑体"/>
                <w:b/>
                <w:bCs w:val="0"/>
                <w:kern w:val="0"/>
                <w:szCs w:val="21"/>
              </w:rPr>
              <w:t>一、</w:t>
            </w:r>
            <w:bookmarkStart w:id="0" w:name="_Hlk66973412"/>
            <w:r>
              <w:rPr>
                <w:rFonts w:hint="eastAsia" w:ascii="黑体" w:hAnsi="黑体" w:eastAsia="黑体"/>
                <w:b/>
                <w:bCs w:val="0"/>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b/>
                <w:bCs w:val="0"/>
                <w:szCs w:val="21"/>
              </w:rPr>
            </w:pPr>
            <w:r>
              <w:rPr>
                <w:rFonts w:hint="eastAsia" w:ascii="黑体" w:hAnsi="黑体" w:eastAsia="黑体"/>
                <w:b/>
                <w:bCs w:val="0"/>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b/>
                <w:bCs w:val="0"/>
                <w:szCs w:val="21"/>
              </w:rPr>
            </w:pPr>
            <w:r>
              <w:rPr>
                <w:rFonts w:hint="eastAsia" w:ascii="黑体" w:hAnsi="黑体" w:eastAsia="黑体"/>
                <w:b/>
                <w:bCs w:val="0"/>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b/>
                <w:bCs w:val="0"/>
                <w:szCs w:val="21"/>
              </w:rPr>
            </w:pPr>
            <w:r>
              <w:rPr>
                <w:rFonts w:hint="eastAsia" w:ascii="黑体" w:hAnsi="黑体" w:eastAsia="黑体"/>
                <w:b/>
                <w:bCs w:val="0"/>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4677" w:type="dxa"/>
            <w:gridSpan w:val="2"/>
            <w:shd w:val="clear" w:color="auto" w:fill="auto"/>
            <w:tcMar>
              <w:left w:w="108" w:type="dxa"/>
              <w:right w:w="108" w:type="dxa"/>
            </w:tcMar>
            <w:vAlign w:val="center"/>
          </w:tcPr>
          <w:p>
            <w:pPr>
              <w:widowControl/>
              <w:rPr>
                <w:rFonts w:ascii="黑体" w:hAnsi="黑体" w:eastAsia="黑体"/>
                <w:b/>
                <w:bCs w:val="0"/>
                <w:szCs w:val="21"/>
              </w:rPr>
            </w:pPr>
            <w:r>
              <w:rPr>
                <w:rFonts w:hint="eastAsia" w:ascii="黑体" w:hAnsi="黑体" w:eastAsia="黑体"/>
                <w:b/>
                <w:bCs w:val="0"/>
                <w:kern w:val="0"/>
                <w:szCs w:val="21"/>
              </w:rPr>
              <w:t>（二）部分公开（</w:t>
            </w:r>
            <w:bookmarkStart w:id="1" w:name="_Hlk66973981"/>
            <w:r>
              <w:rPr>
                <w:rFonts w:hint="eastAsia" w:ascii="黑体" w:hAnsi="黑体" w:eastAsia="黑体"/>
                <w:b/>
                <w:bCs w:val="0"/>
                <w:kern w:val="0"/>
                <w:szCs w:val="21"/>
              </w:rPr>
              <w:t>区分处理的，只计这一情形，不计其他情形</w:t>
            </w:r>
            <w:bookmarkEnd w:id="1"/>
            <w:r>
              <w:rPr>
                <w:rFonts w:hint="eastAsia" w:ascii="黑体" w:hAnsi="黑体" w:eastAsia="黑体"/>
                <w:b/>
                <w:bCs w:val="0"/>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val="0"/>
                <w:szCs w:val="21"/>
              </w:rPr>
            </w:pPr>
            <w:r>
              <w:rPr>
                <w:rFonts w:hint="eastAsia" w:ascii="黑体" w:hAnsi="黑体" w:eastAsia="黑体"/>
                <w:b/>
                <w:bCs w:val="0"/>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2.</w:t>
            </w:r>
            <w:bookmarkStart w:id="2" w:name="_Hlk66974104"/>
            <w:r>
              <w:rPr>
                <w:rFonts w:hint="eastAsia" w:ascii="仿宋_GB2312" w:hAnsi="黑体" w:eastAsia="仿宋_GB2312"/>
                <w:b/>
                <w:bCs w:val="0"/>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4.</w:t>
            </w:r>
            <w:bookmarkStart w:id="3" w:name="_Hlk66974290"/>
            <w:r>
              <w:rPr>
                <w:rFonts w:hint="eastAsia" w:ascii="仿宋_GB2312" w:hAnsi="黑体" w:eastAsia="仿宋_GB2312"/>
                <w:b/>
                <w:bCs w:val="0"/>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6.</w:t>
            </w:r>
            <w:bookmarkStart w:id="4" w:name="_Hlk66974555"/>
            <w:r>
              <w:rPr>
                <w:rFonts w:hint="eastAsia" w:ascii="仿宋_GB2312" w:hAnsi="黑体" w:eastAsia="仿宋_GB2312"/>
                <w:b/>
                <w:bCs w:val="0"/>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8.</w:t>
            </w:r>
            <w:bookmarkStart w:id="5" w:name="_Hlk66975211"/>
            <w:r>
              <w:rPr>
                <w:rFonts w:hint="eastAsia" w:ascii="仿宋_GB2312" w:hAnsi="黑体" w:eastAsia="仿宋_GB2312"/>
                <w:b/>
                <w:bCs w:val="0"/>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val="0"/>
                <w:szCs w:val="21"/>
              </w:rPr>
            </w:pPr>
            <w:r>
              <w:rPr>
                <w:rFonts w:hint="eastAsia" w:ascii="黑体" w:hAnsi="黑体" w:eastAsia="黑体"/>
                <w:b/>
                <w:bCs w:val="0"/>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2.</w:t>
            </w:r>
            <w:bookmarkStart w:id="6" w:name="_Hlk66975392"/>
            <w:r>
              <w:rPr>
                <w:rFonts w:hint="eastAsia" w:ascii="仿宋_GB2312" w:hAnsi="黑体" w:eastAsia="仿宋_GB2312"/>
                <w:b/>
                <w:bCs w:val="0"/>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3.</w:t>
            </w:r>
            <w:bookmarkStart w:id="7" w:name="_Hlk66975466"/>
            <w:r>
              <w:rPr>
                <w:rFonts w:hint="eastAsia" w:ascii="仿宋_GB2312" w:hAnsi="黑体" w:eastAsia="仿宋_GB2312"/>
                <w:b/>
                <w:bCs w:val="0"/>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b/>
                <w:bCs w:val="0"/>
                <w:szCs w:val="21"/>
              </w:rPr>
            </w:pPr>
            <w:r>
              <w:rPr>
                <w:rFonts w:hint="eastAsia" w:ascii="黑体" w:hAnsi="黑体" w:eastAsia="黑体"/>
                <w:b/>
                <w:bCs w:val="0"/>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1.</w:t>
            </w:r>
            <w:bookmarkStart w:id="8" w:name="_Hlk66975537"/>
            <w:r>
              <w:rPr>
                <w:rFonts w:hint="eastAsia" w:ascii="仿宋_GB2312" w:hAnsi="黑体" w:eastAsia="仿宋_GB2312"/>
                <w:b/>
                <w:bCs w:val="0"/>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kern w:val="0"/>
                <w:szCs w:val="21"/>
              </w:rPr>
            </w:pPr>
            <w:r>
              <w:rPr>
                <w:rFonts w:hint="eastAsia" w:ascii="仿宋_GB2312" w:hAnsi="黑体" w:eastAsia="仿宋_GB2312"/>
                <w:b/>
                <w:bCs w:val="0"/>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szCs w:val="21"/>
              </w:rPr>
            </w:pPr>
            <w:r>
              <w:rPr>
                <w:rFonts w:hint="eastAsia" w:ascii="仿宋_GB2312" w:hAnsi="黑体" w:eastAsia="仿宋_GB2312"/>
                <w:b/>
                <w:bCs w:val="0"/>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b/>
                <w:bCs w:val="0"/>
                <w:szCs w:val="21"/>
              </w:rPr>
            </w:pPr>
            <w:r>
              <w:rPr>
                <w:rFonts w:hint="eastAsia" w:ascii="仿宋_GB2312" w:hAnsi="黑体" w:eastAsia="仿宋_GB2312"/>
                <w:b/>
                <w:bCs w:val="0"/>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b/>
                <w:bCs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b/>
                <w:bCs w:val="0"/>
                <w:kern w:val="0"/>
                <w:szCs w:val="21"/>
              </w:rPr>
            </w:pPr>
            <w:r>
              <w:rPr>
                <w:rFonts w:hint="eastAsia" w:ascii="仿宋_GB2312" w:hAnsi="黑体" w:eastAsia="仿宋_GB2312"/>
                <w:b/>
                <w:bCs w:val="0"/>
                <w:kern w:val="0"/>
                <w:szCs w:val="21"/>
              </w:rPr>
              <w:t>5.要求行政机关确认或重新</w:t>
            </w:r>
          </w:p>
          <w:p>
            <w:pPr>
              <w:widowControl/>
              <w:spacing w:line="300" w:lineRule="exact"/>
              <w:ind w:firstLine="211" w:firstLineChars="100"/>
              <w:rPr>
                <w:rFonts w:ascii="仿宋_GB2312" w:hAnsi="黑体" w:eastAsia="仿宋_GB2312"/>
                <w:b/>
                <w:bCs w:val="0"/>
                <w:szCs w:val="21"/>
              </w:rPr>
            </w:pPr>
            <w:r>
              <w:rPr>
                <w:rFonts w:hint="eastAsia" w:ascii="仿宋_GB2312" w:hAnsi="黑体" w:eastAsia="仿宋_GB2312"/>
                <w:b/>
                <w:bCs w:val="0"/>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b/>
                <w:bCs w:val="0"/>
                <w:kern w:val="0"/>
                <w:szCs w:val="21"/>
              </w:rPr>
            </w:pPr>
            <w:r>
              <w:rPr>
                <w:rFonts w:hint="eastAsia" w:ascii="黑体" w:hAnsi="黑体" w:eastAsia="黑体"/>
                <w:b/>
                <w:bCs w:val="0"/>
                <w:kern w:val="0"/>
                <w:szCs w:val="21"/>
              </w:rPr>
              <w:t>（六）其他处理</w:t>
            </w:r>
          </w:p>
        </w:tc>
        <w:tc>
          <w:tcPr>
            <w:tcW w:w="2976" w:type="dxa"/>
            <w:shd w:val="clear" w:color="auto" w:fill="auto"/>
            <w:vAlign w:val="center"/>
          </w:tcPr>
          <w:p>
            <w:pPr>
              <w:widowControl/>
              <w:spacing w:line="300" w:lineRule="exact"/>
              <w:rPr>
                <w:rFonts w:ascii="仿宋_GB2312" w:hAnsi="楷体" w:eastAsia="仿宋_GB2312"/>
                <w:b/>
                <w:bCs w:val="0"/>
              </w:rPr>
            </w:pPr>
            <w:r>
              <w:rPr>
                <w:rFonts w:hint="eastAsia" w:ascii="仿宋_GB2312" w:hAnsi="楷体" w:eastAsia="仿宋_GB2312"/>
                <w:b/>
                <w:bCs w:val="0"/>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val="0"/>
                <w:szCs w:val="21"/>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b/>
                <w:bCs w:val="0"/>
                <w:kern w:val="0"/>
                <w:szCs w:val="21"/>
              </w:rPr>
            </w:pPr>
          </w:p>
        </w:tc>
        <w:tc>
          <w:tcPr>
            <w:tcW w:w="2976" w:type="dxa"/>
            <w:shd w:val="clear" w:color="auto" w:fill="auto"/>
            <w:vAlign w:val="center"/>
          </w:tcPr>
          <w:p>
            <w:pPr>
              <w:widowControl/>
              <w:spacing w:line="300" w:lineRule="exact"/>
              <w:rPr>
                <w:rFonts w:ascii="仿宋_GB2312" w:hAnsi="黑体" w:eastAsia="仿宋_GB2312"/>
                <w:b/>
                <w:bCs w:val="0"/>
                <w:kern w:val="0"/>
                <w:szCs w:val="21"/>
              </w:rPr>
            </w:pPr>
            <w:r>
              <w:rPr>
                <w:rFonts w:hint="eastAsia" w:ascii="仿宋_GB2312" w:hAnsi="楷体" w:eastAsia="仿宋_GB2312"/>
                <w:b/>
                <w:bCs w:val="0"/>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b/>
                <w:bCs w:val="0"/>
                <w:kern w:val="0"/>
                <w:szCs w:val="21"/>
              </w:rPr>
            </w:pPr>
          </w:p>
        </w:tc>
        <w:tc>
          <w:tcPr>
            <w:tcW w:w="2976" w:type="dxa"/>
            <w:shd w:val="clear" w:color="auto" w:fill="auto"/>
            <w:vAlign w:val="center"/>
          </w:tcPr>
          <w:p>
            <w:pPr>
              <w:widowControl/>
              <w:spacing w:line="300" w:lineRule="exact"/>
              <w:rPr>
                <w:rFonts w:ascii="仿宋_GB2312" w:hAnsi="黑体" w:eastAsia="仿宋_GB2312"/>
                <w:b/>
                <w:bCs w:val="0"/>
                <w:kern w:val="0"/>
                <w:szCs w:val="21"/>
              </w:rPr>
            </w:pPr>
            <w:r>
              <w:rPr>
                <w:rFonts w:hint="eastAsia" w:ascii="仿宋_GB2312" w:hAnsi="楷体" w:eastAsia="仿宋_GB2312"/>
                <w:b/>
                <w:bCs w:val="0"/>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b/>
                <w:bCs w:val="0"/>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b/>
                <w:bCs w:val="0"/>
                <w:kern w:val="0"/>
                <w:szCs w:val="21"/>
              </w:rPr>
            </w:pPr>
            <w:r>
              <w:rPr>
                <w:rFonts w:hint="eastAsia" w:ascii="黑体" w:hAnsi="黑体" w:eastAsia="黑体"/>
                <w:b/>
                <w:bCs w:val="0"/>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b/>
                <w:bCs w:val="0"/>
                <w:kern w:val="0"/>
                <w:szCs w:val="21"/>
              </w:rPr>
            </w:pPr>
            <w:r>
              <w:rPr>
                <w:rFonts w:hint="eastAsia" w:ascii="黑体" w:hAnsi="黑体" w:eastAsia="黑体"/>
                <w:b/>
                <w:bCs w:val="0"/>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D</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val="0"/>
                <w:szCs w:val="21"/>
                <w:lang w:val="en-US" w:eastAsia="zh-CN"/>
              </w:rPr>
            </w:pPr>
            <w:r>
              <w:rPr>
                <w:rFonts w:hint="eastAsia" w:ascii="仿宋_GB2312" w:hAnsi="Times New Roman" w:eastAsia="仿宋_GB2312"/>
                <w:b/>
                <w:bCs w:val="0"/>
                <w:szCs w:val="21"/>
                <w:lang w:val="en-US" w:eastAsia="zh-CN"/>
              </w:rPr>
              <w:t>0</w:t>
            </w:r>
          </w:p>
        </w:tc>
      </w:tr>
    </w:tbl>
    <w:p>
      <w:pPr>
        <w:rPr>
          <w:rFonts w:hint="eastAsia" w:ascii="黑体" w:hAnsi="黑体" w:eastAsia="黑体" w:cs="黑体"/>
          <w:b/>
          <w:bCs w:val="0"/>
          <w:i w:val="0"/>
          <w:caps w:val="0"/>
          <w:color w:val="333333"/>
          <w:spacing w:val="0"/>
          <w:kern w:val="0"/>
          <w:sz w:val="32"/>
          <w:szCs w:val="32"/>
          <w:shd w:val="clear" w:fill="FFFFFF"/>
          <w:lang w:val="en-US" w:eastAsia="zh-CN" w:bidi="ar"/>
        </w:rPr>
      </w:pPr>
    </w:p>
    <w:p>
      <w:pPr>
        <w:ind w:firstLine="643" w:firstLineChars="200"/>
        <w:rPr>
          <w:rFonts w:ascii="仿宋_GB2312" w:eastAsia="仿宋_GB2312"/>
          <w:b/>
          <w:bCs w:val="0"/>
          <w:sz w:val="32"/>
          <w:szCs w:val="32"/>
        </w:rPr>
      </w:pPr>
      <w:r>
        <w:rPr>
          <w:rFonts w:hint="eastAsia" w:ascii="黑体" w:hAnsi="黑体" w:eastAsia="黑体" w:cs="黑体"/>
          <w:b/>
          <w:bCs w:val="0"/>
          <w:i w:val="0"/>
          <w:caps w:val="0"/>
          <w:color w:val="333333"/>
          <w:spacing w:val="0"/>
          <w:kern w:val="0"/>
          <w:sz w:val="32"/>
          <w:szCs w:val="32"/>
          <w:shd w:val="clear" w:fill="FFFFFF"/>
          <w:lang w:val="en-US" w:eastAsia="zh-CN" w:bidi="ar"/>
        </w:rPr>
        <w:t>四、政府信息公开行政复议、行政诉讼情况</w:t>
      </w:r>
    </w:p>
    <w:tbl>
      <w:tblPr>
        <w:tblStyle w:val="8"/>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r>
              <w:rPr>
                <w:rFonts w:ascii="黑体" w:hAnsi="黑体" w:eastAsia="黑体"/>
                <w:b/>
                <w:bCs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r>
              <w:rPr>
                <w:rFonts w:ascii="黑体" w:hAnsi="黑体" w:eastAsia="黑体"/>
                <w:b/>
                <w:bCs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b/>
                <w:bCs w:val="0"/>
                <w:kern w:val="0"/>
                <w:sz w:val="20"/>
                <w:szCs w:val="20"/>
              </w:rPr>
            </w:pPr>
            <w:r>
              <w:rPr>
                <w:rFonts w:ascii="黑体" w:hAnsi="黑体" w:eastAsia="黑体"/>
                <w:b/>
                <w:bCs w:val="0"/>
                <w:kern w:val="0"/>
                <w:sz w:val="20"/>
                <w:szCs w:val="20"/>
              </w:rPr>
              <w:t>结果</w:t>
            </w:r>
          </w:p>
          <w:p>
            <w:pPr>
              <w:widowControl/>
              <w:ind w:left="-149" w:leftChars="-71" w:right="-170" w:rightChars="-81"/>
              <w:jc w:val="center"/>
              <w:rPr>
                <w:rFonts w:ascii="黑体" w:hAnsi="黑体" w:eastAsia="黑体"/>
                <w:b/>
                <w:bCs w:val="0"/>
              </w:rPr>
            </w:pPr>
            <w:r>
              <w:rPr>
                <w:rFonts w:ascii="黑体" w:hAnsi="黑体" w:eastAsia="黑体"/>
                <w:b/>
                <w:bCs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b/>
                <w:bCs w:val="0"/>
              </w:rPr>
            </w:pPr>
            <w:r>
              <w:rPr>
                <w:rFonts w:ascii="黑体" w:hAnsi="黑体" w:eastAsia="黑体"/>
                <w:b/>
                <w:bCs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b/>
                <w:bCs w:val="0"/>
              </w:rPr>
            </w:pPr>
            <w:r>
              <w:rPr>
                <w:rFonts w:ascii="黑体" w:hAnsi="黑体" w:eastAsia="黑体"/>
                <w:b/>
                <w:bCs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b/>
                <w:bCs w:val="0"/>
                <w:kern w:val="0"/>
                <w:sz w:val="20"/>
                <w:szCs w:val="20"/>
              </w:rPr>
            </w:pPr>
            <w:r>
              <w:rPr>
                <w:rFonts w:ascii="黑体" w:hAnsi="黑体" w:eastAsia="黑体"/>
                <w:b/>
                <w:bCs w:val="0"/>
                <w:kern w:val="0"/>
                <w:sz w:val="20"/>
                <w:szCs w:val="20"/>
              </w:rPr>
              <w:t>尚未</w:t>
            </w:r>
          </w:p>
          <w:p>
            <w:pPr>
              <w:widowControl/>
              <w:ind w:left="-118" w:leftChars="-56" w:right="-118" w:rightChars="-56"/>
              <w:jc w:val="center"/>
              <w:rPr>
                <w:rFonts w:ascii="黑体" w:hAnsi="黑体" w:eastAsia="黑体"/>
                <w:b/>
                <w:bCs w:val="0"/>
              </w:rPr>
            </w:pPr>
            <w:r>
              <w:rPr>
                <w:rFonts w:ascii="黑体" w:hAnsi="黑体" w:eastAsia="黑体"/>
                <w:b/>
                <w:bCs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b/>
                <w:bCs w:val="0"/>
                <w:kern w:val="0"/>
                <w:sz w:val="20"/>
                <w:szCs w:val="20"/>
              </w:rPr>
            </w:pPr>
            <w:r>
              <w:rPr>
                <w:rFonts w:ascii="黑体" w:hAnsi="黑体" w:eastAsia="黑体"/>
                <w:b/>
                <w:bCs w:val="0"/>
                <w:kern w:val="0"/>
                <w:sz w:val="20"/>
                <w:szCs w:val="20"/>
              </w:rPr>
              <w:t>总</w:t>
            </w:r>
          </w:p>
          <w:p>
            <w:pPr>
              <w:widowControl/>
              <w:spacing w:line="320" w:lineRule="exact"/>
              <w:jc w:val="center"/>
              <w:rPr>
                <w:rFonts w:ascii="黑体" w:hAnsi="黑体" w:eastAsia="黑体"/>
                <w:b/>
                <w:bCs w:val="0"/>
              </w:rPr>
            </w:pPr>
            <w:r>
              <w:rPr>
                <w:rFonts w:ascii="黑体" w:hAnsi="黑体" w:eastAsia="黑体"/>
                <w:b/>
                <w:bCs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r>
              <w:rPr>
                <w:rFonts w:ascii="黑体" w:hAnsi="黑体" w:eastAsia="黑体"/>
                <w:b/>
                <w:bCs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bookmarkStart w:id="9" w:name="_Hlk67039688"/>
            <w:r>
              <w:rPr>
                <w:rFonts w:ascii="黑体" w:hAnsi="黑体" w:eastAsia="黑体"/>
                <w:b/>
                <w:bCs w:val="0"/>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b/>
                <w:bCs w:val="0"/>
              </w:rPr>
            </w:pPr>
            <w:r>
              <w:rPr>
                <w:rFonts w:ascii="黑体" w:hAnsi="黑体" w:eastAsia="黑体"/>
                <w:b/>
                <w:bCs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b/>
                <w:bCs w:val="0"/>
              </w:rPr>
            </w:pPr>
            <w:r>
              <w:rPr>
                <w:rFonts w:ascii="黑体" w:hAnsi="黑体" w:eastAsia="黑体"/>
                <w:b/>
                <w:bCs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b/>
                <w:bCs w:val="0"/>
                <w:kern w:val="0"/>
                <w:sz w:val="20"/>
                <w:szCs w:val="20"/>
              </w:rPr>
            </w:pPr>
            <w:r>
              <w:rPr>
                <w:rFonts w:ascii="黑体" w:hAnsi="黑体" w:eastAsia="黑体"/>
                <w:b/>
                <w:bCs w:val="0"/>
                <w:kern w:val="0"/>
                <w:sz w:val="20"/>
                <w:szCs w:val="20"/>
              </w:rPr>
              <w:t>其他</w:t>
            </w:r>
          </w:p>
          <w:p>
            <w:pPr>
              <w:widowControl/>
              <w:ind w:left="-126" w:leftChars="-60" w:right="-136" w:rightChars="-65"/>
              <w:jc w:val="center"/>
              <w:rPr>
                <w:rFonts w:ascii="黑体" w:hAnsi="黑体" w:eastAsia="黑体"/>
                <w:b/>
                <w:bCs w:val="0"/>
              </w:rPr>
            </w:pPr>
            <w:r>
              <w:rPr>
                <w:rFonts w:ascii="黑体" w:hAnsi="黑体" w:eastAsia="黑体"/>
                <w:b/>
                <w:bCs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b/>
                <w:bCs w:val="0"/>
                <w:kern w:val="0"/>
                <w:sz w:val="20"/>
                <w:szCs w:val="20"/>
              </w:rPr>
            </w:pPr>
            <w:r>
              <w:rPr>
                <w:rFonts w:ascii="黑体" w:hAnsi="黑体" w:eastAsia="黑体"/>
                <w:b/>
                <w:bCs w:val="0"/>
                <w:kern w:val="0"/>
                <w:sz w:val="20"/>
                <w:szCs w:val="20"/>
              </w:rPr>
              <w:t>尚未</w:t>
            </w:r>
          </w:p>
          <w:p>
            <w:pPr>
              <w:widowControl/>
              <w:ind w:left="-164" w:leftChars="-78" w:right="-153" w:rightChars="-73"/>
              <w:jc w:val="center"/>
              <w:rPr>
                <w:rFonts w:ascii="黑体" w:hAnsi="黑体" w:eastAsia="黑体"/>
                <w:b/>
                <w:bCs w:val="0"/>
              </w:rPr>
            </w:pPr>
            <w:r>
              <w:rPr>
                <w:rFonts w:ascii="黑体" w:hAnsi="黑体" w:eastAsia="黑体"/>
                <w:b/>
                <w:bCs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r>
              <w:rPr>
                <w:rFonts w:ascii="黑体" w:hAnsi="黑体" w:eastAsia="黑体"/>
                <w:b/>
                <w:bCs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b/>
                <w:bCs w:val="0"/>
              </w:rPr>
            </w:pPr>
            <w:r>
              <w:rPr>
                <w:rFonts w:ascii="黑体" w:hAnsi="黑体" w:eastAsia="黑体"/>
                <w:b/>
                <w:bCs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b/>
                <w:bCs w:val="0"/>
                <w:kern w:val="0"/>
                <w:sz w:val="20"/>
                <w:szCs w:val="20"/>
              </w:rPr>
            </w:pPr>
            <w:r>
              <w:rPr>
                <w:rFonts w:ascii="黑体" w:hAnsi="黑体" w:eastAsia="黑体"/>
                <w:b/>
                <w:bCs w:val="0"/>
                <w:kern w:val="0"/>
                <w:sz w:val="20"/>
                <w:szCs w:val="20"/>
              </w:rPr>
              <w:t>结果</w:t>
            </w:r>
          </w:p>
          <w:p>
            <w:pPr>
              <w:widowControl/>
              <w:ind w:left="-136" w:leftChars="-65" w:right="-124" w:rightChars="-59"/>
              <w:jc w:val="center"/>
              <w:rPr>
                <w:rFonts w:ascii="黑体" w:hAnsi="黑体" w:eastAsia="黑体"/>
                <w:b/>
                <w:bCs w:val="0"/>
              </w:rPr>
            </w:pPr>
            <w:r>
              <w:rPr>
                <w:rFonts w:ascii="黑体" w:hAnsi="黑体" w:eastAsia="黑体"/>
                <w:b/>
                <w:bCs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b/>
                <w:bCs w:val="0"/>
                <w:kern w:val="0"/>
                <w:sz w:val="20"/>
                <w:szCs w:val="20"/>
              </w:rPr>
            </w:pPr>
            <w:r>
              <w:rPr>
                <w:rFonts w:ascii="黑体" w:hAnsi="黑体" w:eastAsia="黑体"/>
                <w:b/>
                <w:bCs w:val="0"/>
                <w:kern w:val="0"/>
                <w:sz w:val="20"/>
                <w:szCs w:val="20"/>
              </w:rPr>
              <w:t>其他</w:t>
            </w:r>
          </w:p>
          <w:p>
            <w:pPr>
              <w:widowControl/>
              <w:ind w:left="-173" w:leftChars="-83" w:right="-134" w:rightChars="-64" w:hanging="1"/>
              <w:jc w:val="center"/>
              <w:rPr>
                <w:rFonts w:ascii="黑体" w:hAnsi="黑体" w:eastAsia="黑体"/>
                <w:b/>
                <w:bCs w:val="0"/>
              </w:rPr>
            </w:pPr>
            <w:r>
              <w:rPr>
                <w:rFonts w:ascii="黑体" w:hAnsi="黑体" w:eastAsia="黑体"/>
                <w:b/>
                <w:bCs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b/>
                <w:bCs w:val="0"/>
              </w:rPr>
            </w:pPr>
            <w:r>
              <w:rPr>
                <w:rFonts w:ascii="黑体" w:hAnsi="黑体" w:eastAsia="黑体"/>
                <w:b/>
                <w:bCs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val="0"/>
              </w:rPr>
            </w:pPr>
            <w:r>
              <w:rPr>
                <w:rFonts w:ascii="黑体" w:hAnsi="黑体" w:eastAsia="黑体"/>
                <w:b/>
                <w:bCs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r>
    </w:tbl>
    <w:p>
      <w:pPr>
        <w:rPr>
          <w:rFonts w:hint="eastAsia" w:ascii="黑体" w:hAnsi="黑体" w:eastAsia="黑体" w:cs="黑体"/>
          <w:b/>
          <w:bCs w:val="0"/>
          <w:i w:val="0"/>
          <w:caps w:val="0"/>
          <w:color w:val="333333"/>
          <w:spacing w:val="0"/>
          <w:kern w:val="0"/>
          <w:sz w:val="32"/>
          <w:szCs w:val="32"/>
          <w:shd w:val="clear" w:fill="FFFFFF"/>
          <w:lang w:val="en-US" w:eastAsia="zh-CN" w:bidi="ar"/>
        </w:rPr>
      </w:pPr>
    </w:p>
    <w:p>
      <w:pPr>
        <w:ind w:firstLine="643" w:firstLineChars="200"/>
        <w:rPr>
          <w:rFonts w:hint="eastAsia" w:ascii="黑体" w:hAnsi="黑体" w:eastAsia="黑体" w:cs="黑体"/>
          <w:b/>
          <w:bCs w:val="0"/>
          <w:i w:val="0"/>
          <w:caps w:val="0"/>
          <w:color w:val="333333"/>
          <w:spacing w:val="0"/>
          <w:kern w:val="0"/>
          <w:sz w:val="32"/>
          <w:szCs w:val="32"/>
          <w:shd w:val="clear" w:fill="FFFFFF"/>
          <w:lang w:val="en-US" w:eastAsia="zh-CN" w:bidi="ar"/>
        </w:rPr>
      </w:pPr>
      <w:r>
        <w:rPr>
          <w:rFonts w:hint="eastAsia" w:ascii="黑体" w:hAnsi="黑体" w:eastAsia="黑体" w:cs="黑体"/>
          <w:b/>
          <w:bCs w:val="0"/>
          <w:i w:val="0"/>
          <w:caps w:val="0"/>
          <w:color w:val="333333"/>
          <w:spacing w:val="0"/>
          <w:kern w:val="0"/>
          <w:sz w:val="32"/>
          <w:szCs w:val="32"/>
          <w:shd w:val="clear" w:fill="FFFFFF"/>
          <w:lang w:val="en-US" w:eastAsia="zh-CN" w:bidi="ar"/>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工作开展不均衡，少数学校主动性不强。经过今年的指导和培训，学校已固定专人负责网站信息公开，但仍存在信息发布不主动、不及时，后台操作不规范、不熟练等问题，经常出现缺少要素不能过审，无法发布信息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下一步计划，一是进一步明确责任，要求政务公开责任单位严格按照市、县要求，落实责任，定期做好责任栏目的自查自纠，查缺补漏。二是围绕政府工作重点和公众关注的热点问题，县教体局积极组织责任学校发布相关信息，引导公众理解、支持和配合政府工作。三是组织各单位工作人员进行业务培训，使其熟练掌握网站后台操作及政务公开工作相关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黑体" w:hAnsi="黑体" w:eastAsia="黑体" w:cs="黑体"/>
          <w:b/>
          <w:bCs w:val="0"/>
          <w:i w:val="0"/>
          <w:caps w:val="0"/>
          <w:color w:val="333333"/>
          <w:spacing w:val="0"/>
          <w:kern w:val="0"/>
          <w:sz w:val="32"/>
          <w:szCs w:val="32"/>
          <w:shd w:val="clear" w:fill="FFFFFF"/>
          <w:lang w:val="en-US" w:eastAsia="zh-CN" w:bidi="ar"/>
        </w:rPr>
      </w:pPr>
      <w:r>
        <w:rPr>
          <w:rFonts w:hint="eastAsia" w:ascii="黑体" w:hAnsi="黑体" w:eastAsia="黑体" w:cs="黑体"/>
          <w:b/>
          <w:bCs w:val="0"/>
          <w:i w:val="0"/>
          <w:caps w:val="0"/>
          <w:color w:val="333333"/>
          <w:spacing w:val="0"/>
          <w:kern w:val="0"/>
          <w:sz w:val="32"/>
          <w:szCs w:val="32"/>
          <w:shd w:val="clear" w:fill="FFFFFF"/>
          <w:lang w:val="en-US" w:eastAsia="zh-CN" w:bidi="ar"/>
        </w:rPr>
        <w:t>六、其他需要报告的事项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（一）依据《政府信息公开信息处理费管理办法》规定，我单位2021年未收取相关费用;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（二）梁山县教育和体育局人大代表建议和政协提案办理结果公开情况：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default" w:ascii="方正仿宋简体" w:eastAsia="方正仿宋简体"/>
          <w:b/>
          <w:bCs w:val="0"/>
          <w:color w:val="000000"/>
          <w:sz w:val="32"/>
          <w:szCs w:val="32"/>
          <w:lang w:val="en-US" w:eastAsia="zh-CN"/>
        </w:rPr>
      </w:pPr>
      <w:r>
        <w:rPr>
          <w:rFonts w:hint="default" w:ascii="方正仿宋简体" w:eastAsia="方正仿宋简体"/>
          <w:b/>
          <w:bCs w:val="0"/>
          <w:color w:val="000000"/>
          <w:sz w:val="32"/>
          <w:szCs w:val="32"/>
          <w:lang w:val="en-US" w:eastAsia="zh-CN"/>
        </w:rPr>
        <w:t>2022年，县教体局共收到县十九届人大一次会议代表建议2</w:t>
      </w:r>
      <w:r>
        <w:rPr>
          <w:rFonts w:hint="eastAsia" w:ascii="方正仿宋简体" w:eastAsia="方正仿宋简体"/>
          <w:b/>
          <w:bCs w:val="0"/>
          <w:color w:val="000000"/>
          <w:sz w:val="32"/>
          <w:szCs w:val="32"/>
          <w:lang w:val="en-US" w:eastAsia="zh-CN"/>
        </w:rPr>
        <w:t>3</w:t>
      </w:r>
      <w:r>
        <w:rPr>
          <w:rFonts w:hint="default" w:ascii="方正仿宋简体" w:eastAsia="方正仿宋简体"/>
          <w:b/>
          <w:bCs w:val="0"/>
          <w:color w:val="000000"/>
          <w:sz w:val="32"/>
          <w:szCs w:val="32"/>
          <w:lang w:val="en-US" w:eastAsia="zh-CN"/>
        </w:rPr>
        <w:t>件，从</w:t>
      </w:r>
      <w:r>
        <w:rPr>
          <w:rFonts w:hint="eastAsia" w:ascii="方正仿宋简体" w:eastAsia="方正仿宋简体"/>
          <w:b/>
          <w:bCs w:val="0"/>
          <w:color w:val="000000"/>
          <w:sz w:val="32"/>
          <w:szCs w:val="32"/>
          <w:lang w:val="en-US" w:eastAsia="zh-CN"/>
        </w:rPr>
        <w:t>建议</w:t>
      </w:r>
      <w:r>
        <w:rPr>
          <w:rFonts w:hint="default" w:ascii="方正仿宋简体" w:eastAsia="方正仿宋简体"/>
          <w:b/>
          <w:bCs w:val="0"/>
          <w:color w:val="000000"/>
          <w:sz w:val="32"/>
          <w:szCs w:val="32"/>
          <w:lang w:val="en-US" w:eastAsia="zh-CN"/>
        </w:rPr>
        <w:t>内容看，涉及教师队伍建设</w:t>
      </w:r>
      <w:r>
        <w:rPr>
          <w:rFonts w:hint="eastAsia" w:ascii="方正仿宋简体" w:eastAsia="方正仿宋简体"/>
          <w:b/>
          <w:bCs w:val="0"/>
          <w:color w:val="000000"/>
          <w:sz w:val="32"/>
          <w:szCs w:val="32"/>
          <w:lang w:val="en-US" w:eastAsia="zh-CN"/>
        </w:rPr>
        <w:t>6</w:t>
      </w:r>
      <w:r>
        <w:rPr>
          <w:rFonts w:hint="default" w:ascii="方正仿宋简体" w:eastAsia="方正仿宋简体"/>
          <w:b/>
          <w:bCs w:val="0"/>
          <w:color w:val="000000"/>
          <w:sz w:val="32"/>
          <w:szCs w:val="32"/>
          <w:lang w:val="en-US" w:eastAsia="zh-CN"/>
        </w:rPr>
        <w:t>件、</w:t>
      </w:r>
      <w:r>
        <w:rPr>
          <w:rFonts w:hint="eastAsia" w:ascii="方正仿宋简体" w:eastAsia="方正仿宋简体"/>
          <w:b/>
          <w:bCs w:val="0"/>
          <w:color w:val="000000"/>
          <w:sz w:val="32"/>
          <w:szCs w:val="32"/>
          <w:lang w:val="en-US" w:eastAsia="zh-CN"/>
        </w:rPr>
        <w:t>教育资源整合5件</w:t>
      </w:r>
      <w:r>
        <w:rPr>
          <w:rFonts w:hint="default" w:ascii="方正仿宋简体" w:eastAsia="方正仿宋简体"/>
          <w:b/>
          <w:bCs w:val="0"/>
          <w:color w:val="000000"/>
          <w:sz w:val="32"/>
          <w:szCs w:val="32"/>
          <w:lang w:val="en-US" w:eastAsia="zh-CN"/>
        </w:rPr>
        <w:t>、</w:t>
      </w:r>
      <w:r>
        <w:rPr>
          <w:rFonts w:hint="eastAsia" w:ascii="方正仿宋简体" w:eastAsia="方正仿宋简体"/>
          <w:b/>
          <w:bCs w:val="0"/>
          <w:color w:val="000000"/>
          <w:sz w:val="32"/>
          <w:szCs w:val="32"/>
          <w:lang w:val="en-US" w:eastAsia="zh-CN"/>
        </w:rPr>
        <w:t>校外培训机构</w:t>
      </w:r>
      <w:r>
        <w:rPr>
          <w:rFonts w:hint="default" w:ascii="方正仿宋简体" w:eastAsia="方正仿宋简体"/>
          <w:b/>
          <w:bCs w:val="0"/>
          <w:color w:val="000000"/>
          <w:sz w:val="32"/>
          <w:szCs w:val="32"/>
          <w:lang w:val="en-US" w:eastAsia="zh-CN"/>
        </w:rPr>
        <w:t>、职业教育、学前教育发展及教育民生实事</w:t>
      </w:r>
      <w:r>
        <w:rPr>
          <w:rFonts w:hint="eastAsia" w:ascii="方正仿宋简体" w:eastAsia="方正仿宋简体"/>
          <w:b/>
          <w:bCs w:val="0"/>
          <w:color w:val="000000"/>
          <w:sz w:val="32"/>
          <w:szCs w:val="32"/>
          <w:lang w:val="en-US" w:eastAsia="zh-CN"/>
        </w:rPr>
        <w:t>等12</w:t>
      </w:r>
      <w:r>
        <w:rPr>
          <w:rFonts w:hint="default" w:ascii="方正仿宋简体" w:eastAsia="方正仿宋简体"/>
          <w:b/>
          <w:bCs w:val="0"/>
          <w:color w:val="000000"/>
          <w:sz w:val="32"/>
          <w:szCs w:val="32"/>
          <w:lang w:val="en-US" w:eastAsia="zh-CN"/>
        </w:rPr>
        <w:t>件。所承担的</w:t>
      </w:r>
      <w:r>
        <w:rPr>
          <w:rFonts w:hint="eastAsia" w:ascii="方正仿宋简体" w:eastAsia="方正仿宋简体"/>
          <w:b/>
          <w:bCs w:val="0"/>
          <w:color w:val="000000"/>
          <w:sz w:val="32"/>
          <w:szCs w:val="32"/>
          <w:lang w:val="en-US" w:eastAsia="zh-CN"/>
        </w:rPr>
        <w:t>23</w:t>
      </w:r>
      <w:r>
        <w:rPr>
          <w:rFonts w:hint="default" w:ascii="方正仿宋简体" w:eastAsia="方正仿宋简体"/>
          <w:b/>
          <w:bCs w:val="0"/>
          <w:color w:val="000000"/>
          <w:sz w:val="32"/>
          <w:szCs w:val="32"/>
          <w:lang w:val="en-US" w:eastAsia="zh-CN"/>
        </w:rPr>
        <w:t>件</w:t>
      </w:r>
      <w:r>
        <w:rPr>
          <w:rFonts w:hint="eastAsia" w:ascii="方正仿宋简体" w:eastAsia="方正仿宋简体"/>
          <w:b/>
          <w:bCs w:val="0"/>
          <w:color w:val="000000"/>
          <w:sz w:val="32"/>
          <w:szCs w:val="32"/>
          <w:lang w:val="en-US" w:eastAsia="zh-CN"/>
        </w:rPr>
        <w:t>人大建议</w:t>
      </w:r>
      <w:r>
        <w:rPr>
          <w:rFonts w:hint="default" w:ascii="方正仿宋简体" w:eastAsia="方正仿宋简体"/>
          <w:b/>
          <w:bCs w:val="0"/>
          <w:color w:val="000000"/>
          <w:sz w:val="32"/>
          <w:szCs w:val="32"/>
          <w:lang w:val="en-US" w:eastAsia="zh-CN"/>
        </w:rPr>
        <w:t>中，已办理完成</w:t>
      </w:r>
      <w:r>
        <w:rPr>
          <w:rFonts w:hint="eastAsia" w:ascii="方正仿宋简体" w:eastAsia="方正仿宋简体"/>
          <w:b/>
          <w:bCs w:val="0"/>
          <w:color w:val="000000"/>
          <w:sz w:val="32"/>
          <w:szCs w:val="32"/>
          <w:lang w:val="en-US" w:eastAsia="zh-CN"/>
        </w:rPr>
        <w:t>7</w:t>
      </w:r>
      <w:r>
        <w:rPr>
          <w:rFonts w:hint="default" w:ascii="方正仿宋简体" w:eastAsia="方正仿宋简体"/>
          <w:b/>
          <w:bCs w:val="0"/>
          <w:color w:val="000000"/>
          <w:sz w:val="32"/>
          <w:szCs w:val="32"/>
          <w:lang w:val="en-US" w:eastAsia="zh-CN"/>
        </w:rPr>
        <w:t>件，有计划正在实施或需长期坚持</w:t>
      </w:r>
      <w:r>
        <w:rPr>
          <w:rFonts w:hint="eastAsia" w:ascii="方正仿宋简体" w:eastAsia="方正仿宋简体"/>
          <w:b/>
          <w:bCs w:val="0"/>
          <w:color w:val="000000"/>
          <w:sz w:val="32"/>
          <w:szCs w:val="32"/>
          <w:lang w:val="en-US" w:eastAsia="zh-CN"/>
        </w:rPr>
        <w:t>13</w:t>
      </w:r>
      <w:r>
        <w:rPr>
          <w:rFonts w:hint="default" w:ascii="方正仿宋简体" w:eastAsia="方正仿宋简体"/>
          <w:b/>
          <w:bCs w:val="0"/>
          <w:color w:val="000000"/>
          <w:sz w:val="32"/>
          <w:szCs w:val="32"/>
          <w:lang w:val="en-US" w:eastAsia="zh-CN"/>
        </w:rPr>
        <w:t>件，因条件限制</w:t>
      </w:r>
      <w:r>
        <w:rPr>
          <w:rFonts w:hint="eastAsia" w:ascii="方正仿宋简体" w:eastAsia="方正仿宋简体"/>
          <w:b/>
          <w:bCs w:val="0"/>
          <w:color w:val="000000"/>
          <w:sz w:val="32"/>
          <w:szCs w:val="32"/>
          <w:lang w:val="en-US" w:eastAsia="zh-CN"/>
        </w:rPr>
        <w:t>暂时</w:t>
      </w:r>
      <w:r>
        <w:rPr>
          <w:rFonts w:hint="default" w:ascii="方正仿宋简体" w:eastAsia="方正仿宋简体"/>
          <w:b/>
          <w:bCs w:val="0"/>
          <w:color w:val="000000"/>
          <w:sz w:val="32"/>
          <w:szCs w:val="32"/>
          <w:lang w:val="en-US" w:eastAsia="zh-CN"/>
        </w:rPr>
        <w:t>未有进展</w:t>
      </w:r>
      <w:r>
        <w:rPr>
          <w:rFonts w:hint="eastAsia" w:ascii="方正仿宋简体" w:eastAsia="方正仿宋简体"/>
          <w:b/>
          <w:bCs w:val="0"/>
          <w:color w:val="000000"/>
          <w:sz w:val="32"/>
          <w:szCs w:val="32"/>
          <w:lang w:val="en-US" w:eastAsia="zh-CN"/>
        </w:rPr>
        <w:t>2</w:t>
      </w:r>
      <w:r>
        <w:rPr>
          <w:rFonts w:hint="default" w:ascii="方正仿宋简体" w:eastAsia="方正仿宋简体"/>
          <w:b/>
          <w:bCs w:val="0"/>
          <w:color w:val="000000"/>
          <w:sz w:val="32"/>
          <w:szCs w:val="32"/>
          <w:lang w:val="en-US" w:eastAsia="zh-CN"/>
        </w:rPr>
        <w:t>件</w:t>
      </w:r>
      <w:r>
        <w:rPr>
          <w:rFonts w:hint="eastAsia" w:ascii="方正仿宋简体" w:eastAsia="方正仿宋简体"/>
          <w:b/>
          <w:bCs w:val="0"/>
          <w:color w:val="000000"/>
          <w:sz w:val="32"/>
          <w:szCs w:val="32"/>
          <w:lang w:val="en-US" w:eastAsia="zh-CN"/>
        </w:rPr>
        <w:t>，转交其他单位办理1件（第13号代表建议）</w:t>
      </w:r>
      <w:r>
        <w:rPr>
          <w:rFonts w:hint="default" w:ascii="方正仿宋简体" w:eastAsia="方正仿宋简体"/>
          <w:b/>
          <w:bCs w:val="0"/>
          <w:color w:val="000000"/>
          <w:sz w:val="32"/>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default" w:ascii="方正仿宋简体" w:eastAsia="方正仿宋简体"/>
          <w:b/>
          <w:bCs w:val="0"/>
          <w:color w:val="000000"/>
          <w:sz w:val="32"/>
          <w:szCs w:val="32"/>
          <w:lang w:val="en-US" w:eastAsia="zh-CN"/>
        </w:rPr>
        <w:t>2022年，县教体局共收到县政协十一届一次会议提案2</w:t>
      </w:r>
      <w:r>
        <w:rPr>
          <w:rFonts w:hint="eastAsia" w:ascii="方正仿宋简体" w:eastAsia="方正仿宋简体"/>
          <w:b/>
          <w:bCs w:val="0"/>
          <w:color w:val="000000"/>
          <w:sz w:val="32"/>
          <w:szCs w:val="32"/>
          <w:lang w:val="en-US" w:eastAsia="zh-CN"/>
        </w:rPr>
        <w:t>8</w:t>
      </w:r>
      <w:r>
        <w:rPr>
          <w:rFonts w:hint="default" w:ascii="方正仿宋简体" w:eastAsia="方正仿宋简体"/>
          <w:b/>
          <w:bCs w:val="0"/>
          <w:color w:val="000000"/>
          <w:sz w:val="32"/>
          <w:szCs w:val="32"/>
          <w:lang w:val="en-US" w:eastAsia="zh-CN"/>
        </w:rPr>
        <w:t>件，从提案内容看，涉及教师队伍建设2件、教育教学管理6件、青少年心理健康教育3件、职业教育、学前教育发展及教育民生实事15件。所承担的2</w:t>
      </w:r>
      <w:r>
        <w:rPr>
          <w:rFonts w:hint="eastAsia" w:ascii="方正仿宋简体" w:eastAsia="方正仿宋简体"/>
          <w:b/>
          <w:bCs w:val="0"/>
          <w:color w:val="000000"/>
          <w:sz w:val="32"/>
          <w:szCs w:val="32"/>
          <w:lang w:val="en-US" w:eastAsia="zh-CN"/>
        </w:rPr>
        <w:t>8</w:t>
      </w:r>
      <w:r>
        <w:rPr>
          <w:rFonts w:hint="default" w:ascii="方正仿宋简体" w:eastAsia="方正仿宋简体"/>
          <w:b/>
          <w:bCs w:val="0"/>
          <w:color w:val="000000"/>
          <w:sz w:val="32"/>
          <w:szCs w:val="32"/>
          <w:lang w:val="en-US" w:eastAsia="zh-CN"/>
        </w:rPr>
        <w:t>件政协提案中，已办理完成1</w:t>
      </w:r>
      <w:r>
        <w:rPr>
          <w:rFonts w:hint="eastAsia" w:ascii="方正仿宋简体" w:eastAsia="方正仿宋简体"/>
          <w:b/>
          <w:bCs w:val="0"/>
          <w:color w:val="000000"/>
          <w:sz w:val="32"/>
          <w:szCs w:val="32"/>
          <w:lang w:val="en-US" w:eastAsia="zh-CN"/>
        </w:rPr>
        <w:t>8</w:t>
      </w:r>
      <w:r>
        <w:rPr>
          <w:rFonts w:hint="default" w:ascii="方正仿宋简体" w:eastAsia="方正仿宋简体"/>
          <w:b/>
          <w:bCs w:val="0"/>
          <w:color w:val="000000"/>
          <w:sz w:val="32"/>
          <w:szCs w:val="32"/>
          <w:lang w:val="en-US" w:eastAsia="zh-CN"/>
        </w:rPr>
        <w:t>件，有计划正在实施或需长期坚持7件，因条件限制未有进展</w:t>
      </w:r>
      <w:r>
        <w:rPr>
          <w:rFonts w:hint="eastAsia" w:ascii="方正仿宋简体" w:eastAsia="方正仿宋简体"/>
          <w:b/>
          <w:bCs w:val="0"/>
          <w:color w:val="000000"/>
          <w:sz w:val="32"/>
          <w:szCs w:val="32"/>
          <w:lang w:val="en-US" w:eastAsia="zh-CN"/>
        </w:rPr>
        <w:t>1</w:t>
      </w:r>
      <w:r>
        <w:rPr>
          <w:rFonts w:hint="default" w:ascii="方正仿宋简体" w:eastAsia="方正仿宋简体"/>
          <w:b/>
          <w:bCs w:val="0"/>
          <w:color w:val="000000"/>
          <w:sz w:val="32"/>
          <w:szCs w:val="32"/>
          <w:lang w:val="en-US" w:eastAsia="zh-CN"/>
        </w:rPr>
        <w:t>件</w:t>
      </w:r>
      <w:r>
        <w:rPr>
          <w:rFonts w:hint="eastAsia" w:ascii="方正仿宋简体" w:eastAsia="方正仿宋简体"/>
          <w:b/>
          <w:bCs w:val="0"/>
          <w:color w:val="000000"/>
          <w:sz w:val="32"/>
          <w:szCs w:val="32"/>
          <w:lang w:val="en-US" w:eastAsia="zh-CN"/>
        </w:rPr>
        <w:t>，转交其他单位办理2件（第35号、第71号委员提案）</w:t>
      </w:r>
      <w:r>
        <w:rPr>
          <w:rFonts w:hint="default" w:ascii="方正仿宋简体" w:eastAsia="方正仿宋简体"/>
          <w:b/>
          <w:bCs w:val="0"/>
          <w:color w:val="000000"/>
          <w:sz w:val="32"/>
          <w:szCs w:val="32"/>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（三）梁山县教育和体育局无年度政务公开工作创新情况。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（四）梁山县教育和体育局无政府信息公开工作年度报告数据统计需要说明的事项。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（五）梁山县教育和体育局无认为需要报告的其他事项。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r>
        <w:rPr>
          <w:rFonts w:hint="eastAsia" w:ascii="方正仿宋简体" w:eastAsia="方正仿宋简体"/>
          <w:b/>
          <w:bCs w:val="0"/>
          <w:color w:val="000000"/>
          <w:sz w:val="32"/>
          <w:szCs w:val="32"/>
          <w:lang w:val="en-US" w:eastAsia="zh-CN"/>
        </w:rPr>
        <w:t>（六）无其他有关文件专门要求通过政府信息公开工作年度报告予以报告的事项。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方正仿宋简体" w:eastAsia="方正仿宋简体"/>
          <w:b/>
          <w:bCs w:val="0"/>
          <w:color w:val="000000"/>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F6F0E"/>
    <w:multiLevelType w:val="singleLevel"/>
    <w:tmpl w:val="A75F6F0E"/>
    <w:lvl w:ilvl="0" w:tentative="0">
      <w:start w:val="1"/>
      <w:numFmt w:val="chineseCounting"/>
      <w:suff w:val="nothing"/>
      <w:lvlText w:val="（%1）"/>
      <w:lvlJc w:val="left"/>
      <w:rPr>
        <w:rFonts w:hint="eastAsia"/>
      </w:rPr>
    </w:lvl>
  </w:abstractNum>
  <w:abstractNum w:abstractNumId="1">
    <w:nsid w:val="3B5FF41D"/>
    <w:multiLevelType w:val="singleLevel"/>
    <w:tmpl w:val="3B5FF41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F18C8"/>
    <w:rsid w:val="05AF47E3"/>
    <w:rsid w:val="0971707A"/>
    <w:rsid w:val="11AF18C8"/>
    <w:rsid w:val="124D7D05"/>
    <w:rsid w:val="17994374"/>
    <w:rsid w:val="1A6A77C7"/>
    <w:rsid w:val="1ECD23DE"/>
    <w:rsid w:val="275B5BDE"/>
    <w:rsid w:val="27CC3580"/>
    <w:rsid w:val="2D4911A2"/>
    <w:rsid w:val="37C00100"/>
    <w:rsid w:val="455315BF"/>
    <w:rsid w:val="51530BD4"/>
    <w:rsid w:val="61667D7E"/>
    <w:rsid w:val="67182CE7"/>
    <w:rsid w:val="67AD6AF2"/>
    <w:rsid w:val="691047D1"/>
    <w:rsid w:val="709A6B53"/>
    <w:rsid w:val="76676414"/>
    <w:rsid w:val="77181135"/>
    <w:rsid w:val="771D5790"/>
    <w:rsid w:val="7938485B"/>
    <w:rsid w:val="7D25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Normal Indent"/>
    <w:basedOn w:val="1"/>
    <w:next w:val="2"/>
    <w:qFormat/>
    <w:uiPriority w:val="0"/>
    <w:pPr>
      <w:ind w:firstLine="420" w:firstLineChars="200"/>
    </w:pPr>
    <w:rPr>
      <w:rFonts w:ascii="Times New Roman" w:hAnsi="Times New Roman" w:eastAsia="宋体" w:cs="Times New Roma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Administrator</cp:lastModifiedBy>
  <cp:lastPrinted>2023-01-16T09:08:00Z</cp:lastPrinted>
  <dcterms:modified xsi:type="dcterms:W3CDTF">2023-01-18T06:42:37Z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