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17"/>
          <w:sz w:val="44"/>
          <w:szCs w:val="44"/>
          <w:shd w:val="clear" w:fill="FFFFFF"/>
        </w:rPr>
      </w:pPr>
      <w:r>
        <w:rPr>
          <w:rFonts w:hint="eastAsia" w:ascii="方正小标宋简体" w:hAnsi="方正小标宋简体" w:eastAsia="方正小标宋简体" w:cs="方正小标宋简体"/>
          <w:b w:val="0"/>
          <w:bCs/>
          <w:i w:val="0"/>
          <w:caps w:val="0"/>
          <w:color w:val="333333"/>
          <w:spacing w:val="-17"/>
          <w:sz w:val="44"/>
          <w:szCs w:val="44"/>
          <w:shd w:val="clear" w:fill="FFFFFF"/>
          <w:lang w:val="en-US" w:eastAsia="zh-CN"/>
        </w:rPr>
        <w:t>济宁市生态环境局梁山县分局2023年</w:t>
      </w:r>
      <w:r>
        <w:rPr>
          <w:rFonts w:hint="eastAsia" w:ascii="方正小标宋简体" w:hAnsi="方正小标宋简体" w:eastAsia="方正小标宋简体" w:cs="方正小标宋简体"/>
          <w:b w:val="0"/>
          <w:bCs/>
          <w:i w:val="0"/>
          <w:caps w:val="0"/>
          <w:color w:val="333333"/>
          <w:spacing w:val="-17"/>
          <w:sz w:val="44"/>
          <w:szCs w:val="44"/>
          <w:shd w:val="clear" w:fill="FFFFFF"/>
        </w:rPr>
        <w:t>政府信息公开工作年度报告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本报告由济宁市生态环境局梁山县分局按照《中华人民共和国政府信息公开条例》（以下简称《条例》）和《中华人民共和国政府信息公开工作年度报告格式》（国办公开办函〔2021〕30号）要求编制。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本报告内容包括总体情况、主动公开政府信息情况、收到和处理政府信息公开申请情况、政府信息公开行政复议和行政诉讼情况、存在的主要问题及改进情况、其他需要报告的事项等六部分内容。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报告所列数据的统计期限自2023年1月1日起至2023年12月31日止。本报告电子版可在梁山县政府门户网站（www.liangshan.gov.cn）查阅或下载。如对本报告有疑问，请与济宁市生态环境局梁山分局办公室联系（地址：梁山县新城办公区1号楼3029-1室，联系电话：0537-7337826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jc w:val="left"/>
        <w:rPr>
          <w:rFonts w:hint="eastAsia" w:ascii="黑体" w:hAnsi="黑体" w:eastAsia="黑体" w:cs="黑体"/>
          <w:b w:val="0"/>
          <w:bCs/>
          <w:i w:val="0"/>
          <w:caps w:val="0"/>
          <w:color w:val="auto"/>
          <w:spacing w:val="0"/>
          <w:kern w:val="0"/>
          <w:sz w:val="32"/>
          <w:szCs w:val="32"/>
          <w:shd w:val="clear" w:fill="FFFFFF"/>
          <w:lang w:val="en-US" w:eastAsia="zh-CN" w:bidi="ar"/>
        </w:rPr>
      </w:pPr>
      <w:r>
        <w:rPr>
          <w:rFonts w:hint="eastAsia" w:ascii="黑体" w:hAnsi="黑体" w:eastAsia="黑体" w:cs="黑体"/>
          <w:b w:val="0"/>
          <w:bCs/>
          <w:i w:val="0"/>
          <w:caps w:val="0"/>
          <w:color w:val="auto"/>
          <w:spacing w:val="0"/>
          <w:kern w:val="0"/>
          <w:sz w:val="32"/>
          <w:szCs w:val="32"/>
          <w:shd w:val="clear" w:fill="FFFFFF"/>
          <w:lang w:val="en-US" w:eastAsia="zh-CN" w:bidi="ar"/>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济宁市生态环境局梁山分局认真贯彻落实《中华人民共和国政府信息公开条例》要求，根据政务公开重点工作任务分工，把政务公开与部门工作相结合，积极做好政府信息公开平台的维护、更新工作和依申请公开的回复工作。重新制定《济宁市生态环境局梁山分局政务公开工作制度》，细化公开目录，调整重点领域教育公开栏目，全年共公开政府信息 231 条。</w:t>
      </w:r>
    </w:p>
    <w:p>
      <w:pPr>
        <w:pStyle w:val="2"/>
        <w:rPr>
          <w:rFonts w:hint="eastAsia"/>
          <w:lang w:val="en-US" w:eastAsia="zh-CN"/>
        </w:rPr>
      </w:pPr>
      <w:r>
        <w:rPr>
          <w:rFonts w:hint="eastAsia"/>
          <w:lang w:val="en-US" w:eastAsia="zh-CN"/>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jc w:val="left"/>
        <w:rPr>
          <w:rFonts w:hint="eastAsia" w:ascii="仿宋_GB2312" w:hAnsi="仿宋_GB2312" w:eastAsia="仿宋_GB2312" w:cs="仿宋_GB2312"/>
          <w:color w:val="auto"/>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（一）主动公开情况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2023年1月1日至2023年12月31日我单位在梁山县政府网发布231条政务信息。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（二）依申请公开情况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2023年济宁市生态环境局梁山分局收到政府信息公开申请数0件。</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政府信息管理情况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在政府信息公开工作推进过程中，我们本着“规范、明了、方便、实用”的原则，根据我局的实际，突出重点，创新形式，不断提高政府信息公开工作水平，不断深化和丰富公开内容，主动向社会公开各类信息。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（四）政府信息公开平台建设情况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在县政府门户网站政务公开专栏发布各类政务公开信息，政府信息公开指南、公开制度、法定主动公开内容、公开年报等均可通过政府网站查阅。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（五）监督保障情况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jc w:val="left"/>
        <w:rPr>
          <w:rFonts w:hint="eastAsia" w:ascii="黑体" w:hAnsi="黑体" w:eastAsia="黑体" w:cs="黑体"/>
          <w:b w:val="0"/>
          <w:bCs/>
          <w:i w:val="0"/>
          <w:caps w:val="0"/>
          <w:color w:val="auto"/>
          <w:spacing w:val="0"/>
          <w:kern w:val="0"/>
          <w:sz w:val="32"/>
          <w:szCs w:val="32"/>
          <w:shd w:val="clear" w:fill="FFFFFF"/>
          <w:lang w:val="en-US" w:eastAsia="zh-CN" w:bidi="ar"/>
        </w:rPr>
      </w:pPr>
      <w:r>
        <w:rPr>
          <w:rFonts w:hint="eastAsia" w:ascii="仿宋_GB2312" w:hAnsi="仿宋_GB2312" w:eastAsia="仿宋_GB2312" w:cs="仿宋_GB2312"/>
          <w:color w:val="auto"/>
          <w:kern w:val="2"/>
          <w:sz w:val="32"/>
          <w:szCs w:val="32"/>
          <w:lang w:val="en-US" w:eastAsia="zh-CN" w:bidi="ar-SA"/>
        </w:rPr>
        <w:t>成立了由单位主要负责人任组长，分管领导任副组长，局机关各科室负责人为成员的政务公开工作领导小组，统一负责局政府信息公开工作的组织实施。完善政务公开工作机制，健全信息公开审核制度和发布台账，对拟公开的政府信息进行严格依法审查。在符合保密要求的前提下，依法公开本机关的政务信息，做好公开内容表述、公开时机、公开方式的研判，及时制定更新主动公开基本目录。1年内未发生信息发布失信、影响社会稳定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jc w:val="left"/>
        <w:rPr>
          <w:rFonts w:hint="eastAsia" w:ascii="黑体" w:hAnsi="黑体" w:eastAsia="黑体" w:cs="黑体"/>
          <w:b w:val="0"/>
          <w:bCs/>
          <w:i w:val="0"/>
          <w:caps w:val="0"/>
          <w:color w:val="auto"/>
          <w:spacing w:val="0"/>
          <w:kern w:val="0"/>
          <w:sz w:val="32"/>
          <w:szCs w:val="32"/>
          <w:shd w:val="clear" w:fill="FFFFFF"/>
          <w:lang w:val="en-US" w:eastAsia="zh-CN" w:bidi="ar"/>
        </w:rPr>
      </w:pPr>
      <w:r>
        <w:rPr>
          <w:rFonts w:hint="eastAsia" w:ascii="黑体" w:hAnsi="黑体" w:eastAsia="黑体" w:cs="黑体"/>
          <w:b w:val="0"/>
          <w:bCs/>
          <w:i w:val="0"/>
          <w:caps w:val="0"/>
          <w:color w:val="auto"/>
          <w:spacing w:val="0"/>
          <w:kern w:val="0"/>
          <w:sz w:val="32"/>
          <w:szCs w:val="32"/>
          <w:shd w:val="clear" w:fill="FFFFFF"/>
          <w:lang w:val="en-US" w:eastAsia="zh-CN" w:bidi="ar"/>
        </w:rPr>
        <w:t>二、主动公开政府信息情况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Calibri" w:eastAsia="仿宋_GB2312" w:cs="Calibri"/>
                <w:color w:val="auto"/>
                <w:kern w:val="0"/>
                <w:szCs w:val="21"/>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行政许可</w:t>
            </w:r>
          </w:p>
        </w:tc>
        <w:tc>
          <w:tcPr>
            <w:tcW w:w="6618"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55</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auto"/>
                <w:kern w:val="0"/>
                <w:szCs w:val="21"/>
                <w:lang w:val="en-US" w:eastAsia="zh-CN"/>
              </w:rPr>
            </w:pPr>
            <w:bookmarkStart w:id="10" w:name="_GoBack"/>
            <w:bookmarkEnd w:id="10"/>
            <w:r>
              <w:rPr>
                <w:rFonts w:hint="eastAsia" w:ascii="仿宋_GB2312" w:hAnsi="Calibri" w:eastAsia="仿宋_GB2312" w:cs="Calibri"/>
                <w:color w:val="auto"/>
                <w:kern w:val="0"/>
                <w:szCs w:val="21"/>
                <w:lang w:val="en-US" w:eastAsia="zh-CN"/>
              </w:rPr>
              <w:t>171</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5</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kern w:val="0"/>
                <w:szCs w:val="21"/>
                <w:lang w:eastAsia="zh-CN"/>
              </w:rPr>
            </w:pPr>
            <w:r>
              <w:rPr>
                <w:rFonts w:hint="eastAsia" w:ascii="仿宋_GB2312" w:hAnsi="Calibri" w:eastAsia="仿宋_GB2312" w:cs="Calibri"/>
                <w:color w:val="auto"/>
                <w:kern w:val="0"/>
                <w:szCs w:val="21"/>
                <w:lang w:val="en-US" w:eastAsia="zh-CN"/>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left"/>
        <w:rPr>
          <w:rFonts w:hint="eastAsia" w:ascii="黑体" w:hAnsi="黑体" w:eastAsia="黑体" w:cs="黑体"/>
          <w:b w:val="0"/>
          <w:bCs/>
          <w:i w:val="0"/>
          <w:caps w:val="0"/>
          <w:color w:val="auto"/>
          <w:spacing w:val="0"/>
          <w:kern w:val="0"/>
          <w:sz w:val="32"/>
          <w:szCs w:val="32"/>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left"/>
        <w:rPr>
          <w:rFonts w:hint="eastAsia" w:ascii="黑体" w:hAnsi="黑体" w:eastAsia="黑体" w:cs="黑体"/>
          <w:b w:val="0"/>
          <w:bCs/>
          <w:i w:val="0"/>
          <w:caps w:val="0"/>
          <w:color w:val="auto"/>
          <w:spacing w:val="0"/>
          <w:kern w:val="0"/>
          <w:sz w:val="32"/>
          <w:szCs w:val="32"/>
          <w:shd w:val="clear" w:fill="FFFFFF"/>
          <w:lang w:val="en-US" w:eastAsia="zh-CN" w:bidi="ar"/>
        </w:rPr>
      </w:pPr>
      <w:r>
        <w:rPr>
          <w:rFonts w:hint="eastAsia" w:ascii="黑体" w:hAnsi="黑体" w:eastAsia="黑体" w:cs="黑体"/>
          <w:b w:val="0"/>
          <w:bCs/>
          <w:i w:val="0"/>
          <w:caps w:val="0"/>
          <w:color w:val="auto"/>
          <w:spacing w:val="0"/>
          <w:kern w:val="0"/>
          <w:sz w:val="32"/>
          <w:szCs w:val="32"/>
          <w:shd w:val="clear" w:fill="FFFFFF"/>
          <w:lang w:val="en-US" w:eastAsia="zh-CN" w:bidi="ar"/>
        </w:rPr>
        <w:t>三、收到和处理政府信息公开申请情况</w:t>
      </w:r>
    </w:p>
    <w:tbl>
      <w:tblPr>
        <w:tblStyle w:val="4"/>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color w:val="auto"/>
                <w:kern w:val="0"/>
                <w:szCs w:val="21"/>
              </w:rPr>
            </w:pPr>
            <w:r>
              <w:rPr>
                <w:rFonts w:hint="eastAsia" w:ascii="楷体_GB2312" w:hAnsi="黑体" w:eastAsia="楷体_GB2312"/>
                <w:color w:val="auto"/>
                <w:kern w:val="0"/>
                <w:szCs w:val="21"/>
              </w:rPr>
              <w:t>（本列数据的勾稽关系为：第一项加第二项之和，</w:t>
            </w:r>
          </w:p>
          <w:p>
            <w:pPr>
              <w:widowControl/>
              <w:jc w:val="center"/>
              <w:rPr>
                <w:rFonts w:ascii="仿宋_GB2312" w:hAnsi="Times New Roman" w:eastAsia="仿宋_GB2312"/>
                <w:color w:val="auto"/>
                <w:szCs w:val="21"/>
              </w:rPr>
            </w:pPr>
            <w:r>
              <w:rPr>
                <w:rFonts w:hint="eastAsia" w:ascii="楷体_GB2312" w:hAnsi="黑体" w:eastAsia="楷体_GB2312"/>
                <w:color w:val="auto"/>
                <w:kern w:val="0"/>
                <w:szCs w:val="21"/>
              </w:rPr>
              <w:t>等于第三项加第四项之和）</w:t>
            </w:r>
          </w:p>
        </w:tc>
        <w:tc>
          <w:tcPr>
            <w:tcW w:w="4448" w:type="dxa"/>
            <w:gridSpan w:val="9"/>
            <w:shd w:val="clear" w:color="auto" w:fill="auto"/>
            <w:tcMar>
              <w:left w:w="108" w:type="dxa"/>
              <w:right w:w="108" w:type="dxa"/>
            </w:tcMar>
            <w:vAlign w:val="center"/>
          </w:tcPr>
          <w:p>
            <w:pPr>
              <w:widowControl/>
              <w:spacing w:line="320" w:lineRule="exact"/>
              <w:jc w:val="center"/>
              <w:rPr>
                <w:rFonts w:ascii="黑体" w:hAnsi="黑体" w:eastAsia="黑体"/>
                <w:color w:val="auto"/>
                <w:szCs w:val="21"/>
              </w:rPr>
            </w:pPr>
            <w:r>
              <w:rPr>
                <w:rFonts w:hint="eastAsia" w:ascii="黑体" w:hAnsi="黑体" w:eastAsia="黑体"/>
                <w:color w:val="auto"/>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c>
          <w:tcPr>
            <w:tcW w:w="747" w:type="dxa"/>
            <w:vMerge w:val="restart"/>
            <w:shd w:val="clear" w:color="auto" w:fill="auto"/>
            <w:tcMar>
              <w:left w:w="108" w:type="dxa"/>
              <w:right w:w="108" w:type="dxa"/>
            </w:tcMar>
            <w:vAlign w:val="center"/>
          </w:tcPr>
          <w:p>
            <w:pPr>
              <w:widowControl/>
              <w:jc w:val="center"/>
              <w:rPr>
                <w:rFonts w:ascii="黑体" w:hAnsi="黑体" w:eastAsia="黑体"/>
                <w:color w:val="auto"/>
                <w:szCs w:val="21"/>
              </w:rPr>
            </w:pPr>
            <w:r>
              <w:rPr>
                <w:rFonts w:hint="eastAsia" w:ascii="黑体" w:hAnsi="黑体" w:eastAsia="黑体"/>
                <w:color w:val="auto"/>
                <w:kern w:val="0"/>
                <w:szCs w:val="21"/>
              </w:rPr>
              <w:t>自然人</w:t>
            </w:r>
          </w:p>
        </w:tc>
        <w:tc>
          <w:tcPr>
            <w:tcW w:w="3000" w:type="dxa"/>
            <w:gridSpan w:val="7"/>
            <w:shd w:val="clear" w:color="auto" w:fill="auto"/>
            <w:tcMar>
              <w:left w:w="108" w:type="dxa"/>
              <w:right w:w="108" w:type="dxa"/>
            </w:tcMar>
            <w:vAlign w:val="center"/>
          </w:tcPr>
          <w:p>
            <w:pPr>
              <w:widowControl/>
              <w:spacing w:line="320" w:lineRule="exact"/>
              <w:jc w:val="center"/>
              <w:rPr>
                <w:rFonts w:ascii="黑体" w:hAnsi="黑体" w:eastAsia="黑体"/>
                <w:color w:val="auto"/>
                <w:szCs w:val="21"/>
              </w:rPr>
            </w:pPr>
            <w:r>
              <w:rPr>
                <w:rFonts w:hint="eastAsia" w:ascii="黑体" w:hAnsi="黑体" w:eastAsia="黑体"/>
                <w:color w:val="auto"/>
                <w:kern w:val="0"/>
                <w:szCs w:val="21"/>
              </w:rPr>
              <w:t>法人或其他组织</w:t>
            </w:r>
          </w:p>
        </w:tc>
        <w:tc>
          <w:tcPr>
            <w:tcW w:w="701" w:type="dxa"/>
            <w:vMerge w:val="restart"/>
            <w:shd w:val="clear" w:color="auto" w:fill="auto"/>
            <w:tcMar>
              <w:left w:w="108" w:type="dxa"/>
              <w:right w:w="108" w:type="dxa"/>
            </w:tcMar>
            <w:vAlign w:val="center"/>
          </w:tcPr>
          <w:p>
            <w:pPr>
              <w:widowControl/>
              <w:jc w:val="center"/>
              <w:rPr>
                <w:rFonts w:ascii="黑体" w:hAnsi="黑体" w:eastAsia="黑体"/>
                <w:color w:val="auto"/>
                <w:szCs w:val="21"/>
              </w:rPr>
            </w:pPr>
            <w:r>
              <w:rPr>
                <w:rFonts w:hint="eastAsia" w:ascii="黑体" w:hAnsi="黑体" w:eastAsia="黑体"/>
                <w:color w:val="auto"/>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c>
          <w:tcPr>
            <w:tcW w:w="747"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540" w:type="dxa"/>
            <w:gridSpan w:val="2"/>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color w:val="auto"/>
                <w:szCs w:val="21"/>
              </w:rPr>
            </w:pPr>
            <w:r>
              <w:rPr>
                <w:rFonts w:hint="eastAsia" w:ascii="黑体" w:hAnsi="黑体" w:eastAsia="黑体"/>
                <w:color w:val="auto"/>
                <w:kern w:val="0"/>
                <w:szCs w:val="21"/>
              </w:rPr>
              <w:t>商业企业</w:t>
            </w:r>
          </w:p>
        </w:tc>
        <w:tc>
          <w:tcPr>
            <w:tcW w:w="540" w:type="dxa"/>
            <w:gridSpan w:val="2"/>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color w:val="auto"/>
                <w:szCs w:val="21"/>
              </w:rPr>
            </w:pPr>
            <w:r>
              <w:rPr>
                <w:rFonts w:hint="eastAsia" w:ascii="黑体" w:hAnsi="黑体" w:eastAsia="黑体"/>
                <w:color w:val="auto"/>
                <w:kern w:val="0"/>
                <w:szCs w:val="21"/>
              </w:rPr>
              <w:t>科研机构</w:t>
            </w:r>
          </w:p>
        </w:tc>
        <w:tc>
          <w:tcPr>
            <w:tcW w:w="720"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color w:val="auto"/>
                <w:szCs w:val="21"/>
              </w:rPr>
            </w:pPr>
            <w:r>
              <w:rPr>
                <w:rFonts w:hint="eastAsia" w:ascii="黑体" w:hAnsi="黑体" w:eastAsia="黑体"/>
                <w:color w:val="auto"/>
                <w:kern w:val="0"/>
                <w:szCs w:val="21"/>
              </w:rPr>
              <w:t>社会公益组织</w:t>
            </w:r>
          </w:p>
        </w:tc>
        <w:tc>
          <w:tcPr>
            <w:tcW w:w="675"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color w:val="auto"/>
                <w:szCs w:val="21"/>
              </w:rPr>
            </w:pPr>
            <w:r>
              <w:rPr>
                <w:rFonts w:hint="eastAsia" w:ascii="黑体" w:hAnsi="黑体" w:eastAsia="黑体"/>
                <w:color w:val="auto"/>
                <w:kern w:val="0"/>
                <w:szCs w:val="21"/>
              </w:rPr>
              <w:t>法律服务机构</w:t>
            </w:r>
          </w:p>
        </w:tc>
        <w:tc>
          <w:tcPr>
            <w:tcW w:w="525"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color w:val="auto"/>
                <w:szCs w:val="21"/>
              </w:rPr>
            </w:pPr>
            <w:r>
              <w:rPr>
                <w:rFonts w:hint="eastAsia" w:ascii="黑体" w:hAnsi="黑体" w:eastAsia="黑体"/>
                <w:color w:val="auto"/>
                <w:kern w:val="0"/>
                <w:szCs w:val="21"/>
              </w:rPr>
              <w:t>其他</w:t>
            </w:r>
          </w:p>
        </w:tc>
        <w:tc>
          <w:tcPr>
            <w:tcW w:w="701" w:type="dxa"/>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一、</w:t>
            </w:r>
            <w:bookmarkStart w:id="0" w:name="_Hlk66973412"/>
            <w:r>
              <w:rPr>
                <w:rFonts w:hint="eastAsia" w:ascii="黑体" w:hAnsi="黑体" w:eastAsia="黑体"/>
                <w:color w:val="auto"/>
                <w:kern w:val="0"/>
                <w:szCs w:val="21"/>
              </w:rPr>
              <w:t>本年新收政府信息公开申请数量</w:t>
            </w:r>
            <w:bookmarkEnd w:id="0"/>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二、上年结转政府信息公开申请数量</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color w:val="auto"/>
                <w:szCs w:val="21"/>
              </w:rPr>
            </w:pPr>
            <w:r>
              <w:rPr>
                <w:rFonts w:hint="eastAsia" w:ascii="黑体" w:hAnsi="黑体" w:eastAsia="黑体"/>
                <w:color w:val="auto"/>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（一）予以公开</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6" w:hRule="atLeas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4677" w:type="dxa"/>
            <w:gridSpan w:val="2"/>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（二）部分公开（</w:t>
            </w:r>
            <w:bookmarkStart w:id="1" w:name="_Hlk66973981"/>
            <w:r>
              <w:rPr>
                <w:rFonts w:hint="eastAsia" w:ascii="黑体" w:hAnsi="黑体" w:eastAsia="黑体"/>
                <w:color w:val="auto"/>
                <w:kern w:val="0"/>
                <w:szCs w:val="21"/>
              </w:rPr>
              <w:t>区分处理的，只计这一情形，不计其他情形</w:t>
            </w:r>
            <w:bookmarkEnd w:id="1"/>
            <w:r>
              <w:rPr>
                <w:rFonts w:hint="eastAsia" w:ascii="黑体" w:hAnsi="黑体" w:eastAsia="黑体"/>
                <w:color w:val="auto"/>
                <w:kern w:val="0"/>
                <w:szCs w:val="21"/>
              </w:rPr>
              <w:t>）</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6"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1.属于国家秘密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w:t>
            </w:r>
            <w:bookmarkStart w:id="2" w:name="_Hlk66974104"/>
            <w:r>
              <w:rPr>
                <w:rFonts w:hint="eastAsia" w:ascii="仿宋_GB2312" w:hAnsi="黑体" w:eastAsia="仿宋_GB2312"/>
                <w:color w:val="auto"/>
                <w:kern w:val="0"/>
                <w:szCs w:val="21"/>
              </w:rPr>
              <w:t>其他法律行政法规禁止公开</w:t>
            </w:r>
            <w:bookmarkEnd w:id="2"/>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3.危及“三安全一稳定”</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4.</w:t>
            </w:r>
            <w:bookmarkStart w:id="3" w:name="_Hlk66974290"/>
            <w:r>
              <w:rPr>
                <w:rFonts w:hint="eastAsia" w:ascii="仿宋_GB2312" w:hAnsi="黑体" w:eastAsia="仿宋_GB2312"/>
                <w:color w:val="auto"/>
                <w:kern w:val="0"/>
                <w:szCs w:val="21"/>
              </w:rPr>
              <w:t>保护第三方合法权益</w:t>
            </w:r>
            <w:bookmarkEnd w:id="3"/>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5.属于三类内部事务信息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6.</w:t>
            </w:r>
            <w:bookmarkStart w:id="4" w:name="_Hlk66974555"/>
            <w:r>
              <w:rPr>
                <w:rFonts w:hint="eastAsia" w:ascii="仿宋_GB2312" w:hAnsi="黑体" w:eastAsia="仿宋_GB2312"/>
                <w:color w:val="auto"/>
                <w:kern w:val="0"/>
                <w:szCs w:val="21"/>
              </w:rPr>
              <w:t>属于四类过程性信息</w:t>
            </w:r>
            <w:bookmarkEnd w:id="4"/>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7.属于行政执法案卷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8.</w:t>
            </w:r>
            <w:bookmarkStart w:id="5" w:name="_Hlk66975211"/>
            <w:r>
              <w:rPr>
                <w:rFonts w:hint="eastAsia" w:ascii="仿宋_GB2312" w:hAnsi="黑体" w:eastAsia="仿宋_GB2312"/>
                <w:color w:val="auto"/>
                <w:kern w:val="0"/>
                <w:szCs w:val="21"/>
              </w:rPr>
              <w:t>属于行政查询事项</w:t>
            </w:r>
            <w:bookmarkEnd w:id="5"/>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1.本机关不掌握相关政府信息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w:t>
            </w:r>
            <w:bookmarkStart w:id="6" w:name="_Hlk66975392"/>
            <w:r>
              <w:rPr>
                <w:rFonts w:hint="eastAsia" w:ascii="仿宋_GB2312" w:hAnsi="黑体" w:eastAsia="仿宋_GB2312"/>
                <w:color w:val="auto"/>
                <w:kern w:val="0"/>
                <w:szCs w:val="21"/>
              </w:rPr>
              <w:t>没有现成信息需要另行制作</w:t>
            </w:r>
            <w:bookmarkEnd w:id="6"/>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3.</w:t>
            </w:r>
            <w:bookmarkStart w:id="7" w:name="_Hlk66975466"/>
            <w:r>
              <w:rPr>
                <w:rFonts w:hint="eastAsia" w:ascii="仿宋_GB2312" w:hAnsi="黑体" w:eastAsia="仿宋_GB2312"/>
                <w:color w:val="auto"/>
                <w:kern w:val="0"/>
                <w:szCs w:val="21"/>
              </w:rPr>
              <w:t>补正后申请内容仍不明确</w:t>
            </w:r>
            <w:bookmarkEnd w:id="7"/>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w:t>
            </w:r>
            <w:bookmarkStart w:id="8" w:name="_Hlk66975537"/>
            <w:r>
              <w:rPr>
                <w:rFonts w:hint="eastAsia" w:ascii="仿宋_GB2312" w:hAnsi="黑体" w:eastAsia="仿宋_GB2312"/>
                <w:color w:val="auto"/>
                <w:kern w:val="0"/>
                <w:szCs w:val="21"/>
              </w:rPr>
              <w:t>信访举报投诉类申请</w:t>
            </w:r>
            <w:bookmarkEnd w:id="8"/>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zCs w:val="21"/>
              </w:rPr>
            </w:pPr>
            <w:r>
              <w:rPr>
                <w:rFonts w:hint="eastAsia" w:ascii="仿宋_GB2312" w:hAnsi="黑体" w:eastAsia="仿宋_GB2312"/>
                <w:color w:val="auto"/>
                <w:kern w:val="0"/>
                <w:szCs w:val="21"/>
              </w:rPr>
              <w:t>3.要求提供公开出版物</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zCs w:val="21"/>
              </w:rPr>
            </w:pPr>
            <w:r>
              <w:rPr>
                <w:rFonts w:hint="eastAsia" w:ascii="仿宋_GB2312" w:hAnsi="黑体" w:eastAsia="仿宋_GB2312"/>
                <w:color w:val="auto"/>
                <w:kern w:val="0"/>
                <w:szCs w:val="21"/>
              </w:rPr>
              <w:t>4.无正当理由大量反复申请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color w:val="auto"/>
                <w:kern w:val="0"/>
                <w:szCs w:val="21"/>
              </w:rPr>
            </w:pPr>
            <w:r>
              <w:rPr>
                <w:rFonts w:hint="eastAsia" w:ascii="仿宋_GB2312" w:hAnsi="黑体" w:eastAsia="仿宋_GB2312"/>
                <w:color w:val="auto"/>
                <w:kern w:val="0"/>
                <w:szCs w:val="21"/>
              </w:rPr>
              <w:t>5.要求行政机关确认或重新</w:t>
            </w:r>
          </w:p>
          <w:p>
            <w:pPr>
              <w:widowControl/>
              <w:spacing w:line="300" w:lineRule="exact"/>
              <w:ind w:firstLine="210" w:firstLineChars="100"/>
              <w:rPr>
                <w:rFonts w:ascii="仿宋_GB2312" w:hAnsi="黑体" w:eastAsia="仿宋_GB2312"/>
                <w:color w:val="auto"/>
                <w:szCs w:val="21"/>
              </w:rPr>
            </w:pPr>
            <w:r>
              <w:rPr>
                <w:rFonts w:hint="eastAsia" w:ascii="仿宋_GB2312" w:hAnsi="黑体" w:eastAsia="仿宋_GB2312"/>
                <w:color w:val="auto"/>
                <w:kern w:val="0"/>
                <w:szCs w:val="21"/>
              </w:rPr>
              <w:t>出具已获取信息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（六）其他处理</w:t>
            </w:r>
          </w:p>
        </w:tc>
        <w:tc>
          <w:tcPr>
            <w:tcW w:w="2976" w:type="dxa"/>
            <w:shd w:val="clear" w:color="auto" w:fill="auto"/>
            <w:vAlign w:val="center"/>
          </w:tcPr>
          <w:p>
            <w:pPr>
              <w:widowControl/>
              <w:spacing w:line="300" w:lineRule="exact"/>
              <w:rPr>
                <w:rFonts w:ascii="仿宋_GB2312" w:hAnsi="楷体" w:eastAsia="仿宋_GB2312"/>
                <w:color w:val="auto"/>
              </w:rPr>
            </w:pPr>
            <w:r>
              <w:rPr>
                <w:rFonts w:hint="eastAsia" w:ascii="仿宋_GB2312" w:hAnsi="楷体" w:eastAsia="仿宋_GB2312"/>
                <w:color w:val="auto"/>
              </w:rPr>
              <w:t>1.申请人无正当理由逾期不补正、行政机关不再处理其政府信息公开申请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p>
        </w:tc>
        <w:tc>
          <w:tcPr>
            <w:tcW w:w="2976" w:type="dxa"/>
            <w:shd w:val="clear" w:color="auto" w:fill="auto"/>
            <w:vAlign w:val="center"/>
          </w:tcPr>
          <w:p>
            <w:pPr>
              <w:widowControl/>
              <w:spacing w:line="300" w:lineRule="exact"/>
              <w:rPr>
                <w:rFonts w:ascii="仿宋_GB2312" w:hAnsi="黑体" w:eastAsia="仿宋_GB2312"/>
                <w:color w:val="auto"/>
                <w:kern w:val="0"/>
                <w:szCs w:val="21"/>
              </w:rPr>
            </w:pPr>
            <w:r>
              <w:rPr>
                <w:rFonts w:hint="eastAsia" w:ascii="仿宋_GB2312" w:hAnsi="楷体" w:eastAsia="仿宋_GB2312"/>
                <w:color w:val="auto"/>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p>
        </w:tc>
        <w:tc>
          <w:tcPr>
            <w:tcW w:w="2976" w:type="dxa"/>
            <w:shd w:val="clear" w:color="auto" w:fill="auto"/>
            <w:vAlign w:val="center"/>
          </w:tcPr>
          <w:p>
            <w:pPr>
              <w:widowControl/>
              <w:spacing w:line="300" w:lineRule="exact"/>
              <w:rPr>
                <w:rFonts w:ascii="仿宋_GB2312" w:hAnsi="黑体" w:eastAsia="仿宋_GB2312"/>
                <w:color w:val="auto"/>
                <w:kern w:val="0"/>
                <w:szCs w:val="21"/>
              </w:rPr>
            </w:pPr>
            <w:r>
              <w:rPr>
                <w:rFonts w:hint="eastAsia" w:ascii="仿宋_GB2312" w:hAnsi="楷体" w:eastAsia="仿宋_GB2312"/>
                <w:color w:val="auto"/>
              </w:rPr>
              <w:t>3.其他</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（七）总计</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四、结转下年度继续办理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仿宋_GB2312" w:hAnsi="Times New Roman" w:eastAsia="仿宋_GB2312"/>
                <w:color w:val="auto"/>
                <w:szCs w:val="21"/>
                <w:lang w:val="en-US" w:eastAsia="zh-CN"/>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left"/>
        <w:rPr>
          <w:rFonts w:hint="eastAsia" w:ascii="黑体" w:hAnsi="黑体" w:eastAsia="黑体" w:cs="黑体"/>
          <w:b w:val="0"/>
          <w:bCs/>
          <w:i w:val="0"/>
          <w:caps w:val="0"/>
          <w:color w:val="auto"/>
          <w:spacing w:val="0"/>
          <w:kern w:val="0"/>
          <w:sz w:val="32"/>
          <w:szCs w:val="32"/>
          <w:shd w:val="clear" w:fill="FFFFFF"/>
          <w:lang w:val="en-US" w:eastAsia="zh-CN" w:bidi="ar"/>
        </w:rPr>
      </w:pPr>
      <w:r>
        <w:rPr>
          <w:rFonts w:hint="eastAsia" w:ascii="黑体" w:hAnsi="黑体" w:eastAsia="黑体" w:cs="黑体"/>
          <w:b w:val="0"/>
          <w:bCs/>
          <w:i w:val="0"/>
          <w:caps w:val="0"/>
          <w:color w:val="auto"/>
          <w:spacing w:val="0"/>
          <w:kern w:val="0"/>
          <w:sz w:val="32"/>
          <w:szCs w:val="32"/>
          <w:shd w:val="clear" w:fill="FFFFFF"/>
          <w:lang w:val="en-US" w:eastAsia="zh-CN" w:bidi="ar"/>
        </w:rPr>
        <w:t>四、政府信息公开行政复议、行政诉讼情况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color w:val="auto"/>
                <w:kern w:val="0"/>
                <w:sz w:val="20"/>
                <w:szCs w:val="20"/>
              </w:rPr>
            </w:pPr>
            <w:r>
              <w:rPr>
                <w:rFonts w:ascii="黑体" w:hAnsi="黑体" w:eastAsia="黑体"/>
                <w:color w:val="auto"/>
                <w:kern w:val="0"/>
                <w:sz w:val="20"/>
                <w:szCs w:val="20"/>
              </w:rPr>
              <w:t>结果</w:t>
            </w:r>
          </w:p>
          <w:p>
            <w:pPr>
              <w:widowControl/>
              <w:ind w:left="-149" w:leftChars="-71" w:right="-170" w:rightChars="-81"/>
              <w:jc w:val="center"/>
              <w:rPr>
                <w:rFonts w:ascii="黑体" w:hAnsi="黑体" w:eastAsia="黑体"/>
                <w:color w:val="auto"/>
              </w:rPr>
            </w:pPr>
            <w:r>
              <w:rPr>
                <w:rFonts w:ascii="黑体" w:hAnsi="黑体" w:eastAsia="黑体"/>
                <w:color w:val="auto"/>
                <w:kern w:val="0"/>
                <w:sz w:val="20"/>
                <w:szCs w:val="20"/>
              </w:rPr>
              <w:t>维持</w:t>
            </w:r>
          </w:p>
        </w:tc>
        <w:tc>
          <w:tcPr>
            <w:tcW w:w="604"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color w:val="auto"/>
              </w:rPr>
            </w:pPr>
            <w:r>
              <w:rPr>
                <w:rFonts w:ascii="黑体" w:hAnsi="黑体" w:eastAsia="黑体"/>
                <w:color w:val="auto"/>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color w:val="auto"/>
              </w:rPr>
            </w:pPr>
            <w:r>
              <w:rPr>
                <w:rFonts w:ascii="黑体" w:hAnsi="黑体" w:eastAsia="黑体"/>
                <w:color w:val="auto"/>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color w:val="auto"/>
                <w:kern w:val="0"/>
                <w:sz w:val="20"/>
                <w:szCs w:val="20"/>
              </w:rPr>
            </w:pPr>
            <w:r>
              <w:rPr>
                <w:rFonts w:ascii="黑体" w:hAnsi="黑体" w:eastAsia="黑体"/>
                <w:color w:val="auto"/>
                <w:kern w:val="0"/>
                <w:sz w:val="20"/>
                <w:szCs w:val="20"/>
              </w:rPr>
              <w:t>尚未</w:t>
            </w:r>
          </w:p>
          <w:p>
            <w:pPr>
              <w:widowControl/>
              <w:ind w:left="-118" w:leftChars="-56" w:right="-118" w:rightChars="-56"/>
              <w:jc w:val="center"/>
              <w:rPr>
                <w:rFonts w:ascii="黑体" w:hAnsi="黑体" w:eastAsia="黑体"/>
                <w:color w:val="auto"/>
              </w:rPr>
            </w:pPr>
            <w:r>
              <w:rPr>
                <w:rFonts w:ascii="黑体" w:hAnsi="黑体" w:eastAsia="黑体"/>
                <w:color w:val="auto"/>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color w:val="auto"/>
                <w:kern w:val="0"/>
                <w:sz w:val="20"/>
                <w:szCs w:val="20"/>
              </w:rPr>
            </w:pPr>
            <w:r>
              <w:rPr>
                <w:rFonts w:ascii="黑体" w:hAnsi="黑体" w:eastAsia="黑体"/>
                <w:color w:val="auto"/>
                <w:kern w:val="0"/>
                <w:sz w:val="20"/>
                <w:szCs w:val="20"/>
              </w:rPr>
              <w:t>总</w:t>
            </w:r>
          </w:p>
          <w:p>
            <w:pPr>
              <w:widowControl/>
              <w:spacing w:line="320" w:lineRule="exact"/>
              <w:jc w:val="center"/>
              <w:rPr>
                <w:rFonts w:ascii="黑体" w:hAnsi="黑体" w:eastAsia="黑体"/>
                <w:color w:val="auto"/>
              </w:rPr>
            </w:pPr>
            <w:r>
              <w:rPr>
                <w:rFonts w:ascii="黑体" w:hAnsi="黑体" w:eastAsia="黑体"/>
                <w:color w:val="auto"/>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bookmarkStart w:id="9" w:name="_Hlk67039688"/>
            <w:r>
              <w:rPr>
                <w:rFonts w:ascii="黑体" w:hAnsi="黑体" w:eastAsia="黑体"/>
                <w:color w:val="auto"/>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5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color w:val="auto"/>
              </w:rPr>
            </w:pPr>
            <w:r>
              <w:rPr>
                <w:rFonts w:ascii="黑体" w:hAnsi="黑体" w:eastAsia="黑体"/>
                <w:color w:val="auto"/>
                <w:kern w:val="0"/>
                <w:sz w:val="20"/>
                <w:szCs w:val="20"/>
              </w:rPr>
              <w:t>结果维持</w:t>
            </w:r>
          </w:p>
        </w:tc>
        <w:tc>
          <w:tcPr>
            <w:tcW w:w="60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color w:val="auto"/>
              </w:rPr>
            </w:pPr>
            <w:r>
              <w:rPr>
                <w:rFonts w:ascii="黑体" w:hAnsi="黑体" w:eastAsia="黑体"/>
                <w:color w:val="auto"/>
                <w:kern w:val="0"/>
                <w:sz w:val="20"/>
                <w:szCs w:val="20"/>
              </w:rPr>
              <w:t>结果纠正</w:t>
            </w:r>
          </w:p>
        </w:tc>
        <w:tc>
          <w:tcPr>
            <w:tcW w:w="60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color w:val="auto"/>
                <w:kern w:val="0"/>
                <w:sz w:val="20"/>
                <w:szCs w:val="20"/>
              </w:rPr>
            </w:pPr>
            <w:r>
              <w:rPr>
                <w:rFonts w:ascii="黑体" w:hAnsi="黑体" w:eastAsia="黑体"/>
                <w:color w:val="auto"/>
                <w:kern w:val="0"/>
                <w:sz w:val="20"/>
                <w:szCs w:val="20"/>
              </w:rPr>
              <w:t>其他</w:t>
            </w:r>
          </w:p>
          <w:p>
            <w:pPr>
              <w:widowControl/>
              <w:ind w:left="-126" w:leftChars="-60" w:right="-136" w:rightChars="-65"/>
              <w:jc w:val="center"/>
              <w:rPr>
                <w:rFonts w:ascii="黑体" w:hAnsi="黑体" w:eastAsia="黑体"/>
                <w:color w:val="auto"/>
              </w:rPr>
            </w:pPr>
            <w:r>
              <w:rPr>
                <w:rFonts w:ascii="黑体" w:hAnsi="黑体" w:eastAsia="黑体"/>
                <w:color w:val="auto"/>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color w:val="auto"/>
                <w:kern w:val="0"/>
                <w:sz w:val="20"/>
                <w:szCs w:val="20"/>
              </w:rPr>
            </w:pPr>
            <w:r>
              <w:rPr>
                <w:rFonts w:ascii="黑体" w:hAnsi="黑体" w:eastAsia="黑体"/>
                <w:color w:val="auto"/>
                <w:kern w:val="0"/>
                <w:sz w:val="20"/>
                <w:szCs w:val="20"/>
              </w:rPr>
              <w:t>尚未</w:t>
            </w:r>
          </w:p>
          <w:p>
            <w:pPr>
              <w:widowControl/>
              <w:ind w:left="-164" w:leftChars="-78" w:right="-153" w:rightChars="-73"/>
              <w:jc w:val="center"/>
              <w:rPr>
                <w:rFonts w:ascii="黑体" w:hAnsi="黑体" w:eastAsia="黑体"/>
                <w:color w:val="auto"/>
              </w:rPr>
            </w:pPr>
            <w:r>
              <w:rPr>
                <w:rFonts w:ascii="黑体" w:hAnsi="黑体" w:eastAsia="黑体"/>
                <w:color w:val="auto"/>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color w:val="auto"/>
              </w:rPr>
            </w:pPr>
            <w:r>
              <w:rPr>
                <w:rFonts w:ascii="黑体" w:hAnsi="黑体" w:eastAsia="黑体"/>
                <w:color w:val="auto"/>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color w:val="auto"/>
                <w:kern w:val="0"/>
                <w:sz w:val="20"/>
                <w:szCs w:val="20"/>
              </w:rPr>
            </w:pPr>
            <w:r>
              <w:rPr>
                <w:rFonts w:ascii="黑体" w:hAnsi="黑体" w:eastAsia="黑体"/>
                <w:color w:val="auto"/>
                <w:kern w:val="0"/>
                <w:sz w:val="20"/>
                <w:szCs w:val="20"/>
              </w:rPr>
              <w:t>结果</w:t>
            </w:r>
          </w:p>
          <w:p>
            <w:pPr>
              <w:widowControl/>
              <w:ind w:left="-136" w:leftChars="-65" w:right="-124" w:rightChars="-59"/>
              <w:jc w:val="center"/>
              <w:rPr>
                <w:rFonts w:ascii="黑体" w:hAnsi="黑体" w:eastAsia="黑体"/>
                <w:color w:val="auto"/>
              </w:rPr>
            </w:pPr>
            <w:r>
              <w:rPr>
                <w:rFonts w:ascii="黑体" w:hAnsi="黑体" w:eastAsia="黑体"/>
                <w:color w:val="auto"/>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color w:val="auto"/>
                <w:kern w:val="0"/>
                <w:sz w:val="20"/>
                <w:szCs w:val="20"/>
              </w:rPr>
            </w:pPr>
            <w:r>
              <w:rPr>
                <w:rFonts w:ascii="黑体" w:hAnsi="黑体" w:eastAsia="黑体"/>
                <w:color w:val="auto"/>
                <w:kern w:val="0"/>
                <w:sz w:val="20"/>
                <w:szCs w:val="20"/>
              </w:rPr>
              <w:t>其他</w:t>
            </w:r>
          </w:p>
          <w:p>
            <w:pPr>
              <w:widowControl/>
              <w:ind w:left="-173" w:leftChars="-83" w:right="-134" w:rightChars="-64" w:hanging="1"/>
              <w:jc w:val="center"/>
              <w:rPr>
                <w:rFonts w:ascii="黑体" w:hAnsi="黑体" w:eastAsia="黑体"/>
                <w:color w:val="auto"/>
              </w:rPr>
            </w:pPr>
            <w:r>
              <w:rPr>
                <w:rFonts w:ascii="黑体" w:hAnsi="黑体" w:eastAsia="黑体"/>
                <w:color w:val="auto"/>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color w:val="auto"/>
              </w:rPr>
            </w:pPr>
            <w:r>
              <w:rPr>
                <w:rFonts w:ascii="黑体" w:hAnsi="黑体" w:eastAsia="黑体"/>
                <w:color w:val="auto"/>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5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left"/>
        <w:rPr>
          <w:rFonts w:hint="eastAsia" w:ascii="黑体" w:hAnsi="黑体" w:eastAsia="黑体" w:cs="黑体"/>
          <w:b w:val="0"/>
          <w:bCs/>
          <w:i w:val="0"/>
          <w:caps w:val="0"/>
          <w:color w:val="auto"/>
          <w:spacing w:val="0"/>
          <w:kern w:val="0"/>
          <w:sz w:val="32"/>
          <w:szCs w:val="32"/>
          <w:shd w:val="clear" w:fill="FFFFFF"/>
          <w:lang w:val="en-US" w:eastAsia="zh-CN" w:bidi="ar"/>
        </w:rPr>
      </w:pPr>
      <w:r>
        <w:rPr>
          <w:rFonts w:hint="eastAsia" w:ascii="黑体" w:hAnsi="黑体" w:eastAsia="黑体" w:cs="黑体"/>
          <w:b w:val="0"/>
          <w:bCs/>
          <w:i w:val="0"/>
          <w:caps w:val="0"/>
          <w:color w:val="auto"/>
          <w:spacing w:val="0"/>
          <w:kern w:val="0"/>
          <w:sz w:val="32"/>
          <w:szCs w:val="32"/>
          <w:shd w:val="clear" w:fill="FFFFFF"/>
          <w:lang w:val="en-US" w:eastAsia="zh-CN" w:bidi="ar"/>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（一）上年度存在问题整改情况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2022年，济宁市生态环境局梁山县分局存在的部分政府信息公开内容还有待进一步完善，公开内容有待进一步深化，部分信息更新还不够及时问题得到有效改善。2023年济宁市生态环境局梁山县分局采取多项措施加强政府信息公开工作：一是及时更新，组织专人对栏目信息进行逐项逐篇检查，保证栏目内容时效性；二是深挖内容，提高工作人员业务能力，保证栏目内容质量；三是加大宣传，提高信息公开的社会参与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jc w:val="left"/>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（二）本年度存在问题及下步工作打算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jc w:val="left"/>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2023年，</w:t>
      </w:r>
      <w:r>
        <w:rPr>
          <w:rFonts w:hint="eastAsia" w:ascii="仿宋_GB2312" w:hAnsi="仿宋_GB2312" w:eastAsia="仿宋_GB2312" w:cs="仿宋_GB2312"/>
          <w:color w:val="auto"/>
          <w:kern w:val="2"/>
          <w:sz w:val="32"/>
          <w:szCs w:val="32"/>
          <w:lang w:val="en-US" w:eastAsia="zh-CN" w:bidi="ar-SA"/>
        </w:rPr>
        <w:t>济宁市生态环境局梁山县分局</w:t>
      </w:r>
      <w:r>
        <w:rPr>
          <w:rFonts w:hint="default" w:ascii="仿宋_GB2312" w:hAnsi="仿宋_GB2312" w:eastAsia="仿宋_GB2312" w:cs="仿宋_GB2312"/>
          <w:color w:val="auto"/>
          <w:kern w:val="2"/>
          <w:sz w:val="32"/>
          <w:szCs w:val="32"/>
          <w:lang w:val="en-US" w:eastAsia="zh-CN" w:bidi="ar-SA"/>
        </w:rPr>
        <w:t>严格贯彻落实《政府信息公开条例》，认真完成</w:t>
      </w:r>
      <w:r>
        <w:rPr>
          <w:rFonts w:hint="eastAsia" w:ascii="仿宋_GB2312" w:hAnsi="仿宋_GB2312" w:eastAsia="仿宋_GB2312" w:cs="仿宋_GB2312"/>
          <w:color w:val="auto"/>
          <w:kern w:val="2"/>
          <w:sz w:val="32"/>
          <w:szCs w:val="32"/>
          <w:lang w:val="en-US" w:eastAsia="zh-CN" w:bidi="ar-SA"/>
        </w:rPr>
        <w:t>并</w:t>
      </w:r>
      <w:r>
        <w:rPr>
          <w:rFonts w:hint="default" w:ascii="仿宋_GB2312" w:hAnsi="仿宋_GB2312" w:eastAsia="仿宋_GB2312" w:cs="仿宋_GB2312"/>
          <w:color w:val="auto"/>
          <w:kern w:val="2"/>
          <w:sz w:val="32"/>
          <w:szCs w:val="32"/>
          <w:lang w:val="en-US" w:eastAsia="zh-CN" w:bidi="ar-SA"/>
        </w:rPr>
        <w:t>取得了一定成效，但与信息公开工作要求还存在一定差距：一是宣传力度不够，对信息公开宣传不到位；</w:t>
      </w:r>
      <w:r>
        <w:rPr>
          <w:rFonts w:hint="eastAsia" w:ascii="仿宋_GB2312" w:hAnsi="仿宋_GB2312" w:eastAsia="仿宋_GB2312" w:cs="仿宋_GB2312"/>
          <w:color w:val="auto"/>
          <w:kern w:val="2"/>
          <w:sz w:val="32"/>
          <w:szCs w:val="32"/>
          <w:lang w:val="en-US" w:eastAsia="zh-CN" w:bidi="ar-SA"/>
        </w:rPr>
        <w:t>二是部分信息更新不及时</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我们将严格按照县政府的各项要求，认真做好以下几项工作：一是明确责任，进一步做好《中华人民共和国政府信息公开条例》的实施工作；二是加强管理，进一步增强信息公开工作实效；三是加大宣传，提高信息公开的社会参与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left"/>
        <w:rPr>
          <w:rFonts w:hint="eastAsia" w:ascii="黑体" w:hAnsi="黑体" w:eastAsia="黑体" w:cs="黑体"/>
          <w:b w:val="0"/>
          <w:bCs/>
          <w:i w:val="0"/>
          <w:caps w:val="0"/>
          <w:color w:val="auto"/>
          <w:spacing w:val="0"/>
          <w:kern w:val="0"/>
          <w:sz w:val="32"/>
          <w:szCs w:val="32"/>
          <w:shd w:val="clear" w:fill="FFFFFF"/>
          <w:lang w:val="en-US" w:eastAsia="zh-CN" w:bidi="ar"/>
        </w:rPr>
      </w:pPr>
      <w:r>
        <w:rPr>
          <w:rFonts w:hint="eastAsia" w:ascii="黑体" w:hAnsi="黑体" w:eastAsia="黑体" w:cs="黑体"/>
          <w:b w:val="0"/>
          <w:bCs/>
          <w:i w:val="0"/>
          <w:caps w:val="0"/>
          <w:color w:val="auto"/>
          <w:spacing w:val="0"/>
          <w:kern w:val="0"/>
          <w:sz w:val="32"/>
          <w:szCs w:val="32"/>
          <w:shd w:val="clear" w:fill="FFFFFF"/>
          <w:lang w:val="en-US" w:eastAsia="zh-CN" w:bidi="ar"/>
        </w:rPr>
        <w:t>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jc w:val="left"/>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（一）本行政机关落实上级年度政务公开工作要点情况：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认真贯彻落实上级年度政务公开工作要求，依法依规全程公开政府信息，不断提高公开质量和实效。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jc w:val="left"/>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（二）依据《政府信息公开信息处理费管理办法》收取信息处理费的情况：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jc w:val="left"/>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2023年</w:t>
      </w:r>
      <w:r>
        <w:rPr>
          <w:rFonts w:hint="eastAsia" w:ascii="仿宋_GB2312" w:hAnsi="仿宋_GB2312" w:eastAsia="仿宋_GB2312" w:cs="仿宋_GB2312"/>
          <w:color w:val="auto"/>
          <w:kern w:val="2"/>
          <w:sz w:val="32"/>
          <w:szCs w:val="32"/>
          <w:lang w:val="en-US" w:eastAsia="zh-CN" w:bidi="ar-SA"/>
        </w:rPr>
        <w:t>济宁市生态环境局梁山县分局</w:t>
      </w:r>
      <w:r>
        <w:rPr>
          <w:rFonts w:hint="default" w:ascii="仿宋_GB2312" w:hAnsi="仿宋_GB2312" w:eastAsia="仿宋_GB2312" w:cs="仿宋_GB2312"/>
          <w:color w:val="auto"/>
          <w:kern w:val="2"/>
          <w:sz w:val="32"/>
          <w:szCs w:val="32"/>
          <w:lang w:val="en-US" w:eastAsia="zh-CN" w:bidi="ar-SA"/>
        </w:rPr>
        <w:t>全年未产生信息公开处理费。</w:t>
      </w:r>
    </w:p>
    <w:p>
      <w:pPr>
        <w:ind w:firstLine="640" w:firstLineChars="200"/>
        <w:rPr>
          <w:rFonts w:hint="eastAsia" w:ascii="仿宋_GB2312" w:hAnsi="仿宋_GB2312" w:eastAsia="仿宋_GB2312" w:cs="仿宋_GB2312"/>
          <w:color w:val="auto"/>
          <w:kern w:val="2"/>
          <w:sz w:val="32"/>
          <w:szCs w:val="32"/>
          <w:lang w:val="en-US" w:eastAsia="zh-CN" w:bidi="ar-SA"/>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7FD4D"/>
    <w:multiLevelType w:val="singleLevel"/>
    <w:tmpl w:val="C2E7FD4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Zjk2YjcwZTU0NTk3YWI1YmYyMWEzOWIyZDA0ODYifQ=="/>
  </w:docVars>
  <w:rsids>
    <w:rsidRoot w:val="00000000"/>
    <w:rsid w:val="05337401"/>
    <w:rsid w:val="08A04678"/>
    <w:rsid w:val="12923C2B"/>
    <w:rsid w:val="27FB21E2"/>
    <w:rsid w:val="29BE1863"/>
    <w:rsid w:val="2A156674"/>
    <w:rsid w:val="2A3F0D3F"/>
    <w:rsid w:val="2BC574D3"/>
    <w:rsid w:val="30A414C5"/>
    <w:rsid w:val="34FD47F8"/>
    <w:rsid w:val="376B6FD2"/>
    <w:rsid w:val="39A65A86"/>
    <w:rsid w:val="3A8A4C4C"/>
    <w:rsid w:val="3CBF1033"/>
    <w:rsid w:val="533E29AE"/>
    <w:rsid w:val="60C2074F"/>
    <w:rsid w:val="6D853538"/>
    <w:rsid w:val="795A1AED"/>
    <w:rsid w:val="7DC27FB1"/>
    <w:rsid w:val="F7CE2234"/>
    <w:rsid w:val="FAFEC4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after="120"/>
      <w:jc w:val="both"/>
      <w:textAlignment w:val="baseline"/>
    </w:pPr>
    <w:rPr>
      <w:rFonts w:ascii="Times New Roman" w:hAnsi="Times New Roman" w:eastAsia="仿宋_GB2312"/>
      <w:kern w:val="2"/>
      <w:sz w:val="32"/>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公开政府信息</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监督检查-环境保护-建设项目环境影响评价信息 </c:v>
                </c:pt>
                <c:pt idx="1">
                  <c:v>监督检查-环境保护-全县空气环境每月质量状况</c:v>
                </c:pt>
                <c:pt idx="2">
                  <c:v>公告公示-通知公告</c:v>
                </c:pt>
                <c:pt idx="3">
                  <c:v>其他</c:v>
                </c:pt>
              </c:strCache>
            </c:strRef>
          </c:cat>
          <c:val>
            <c:numRef>
              <c:f>Sheet1!$B$2:$B$5</c:f>
              <c:numCache>
                <c:formatCode>General</c:formatCode>
                <c:ptCount val="4"/>
                <c:pt idx="0">
                  <c:v>43</c:v>
                </c:pt>
                <c:pt idx="1">
                  <c:v>13</c:v>
                </c:pt>
                <c:pt idx="2">
                  <c:v>10</c:v>
                </c:pt>
                <c:pt idx="3">
                  <c:v>156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2399</Words>
  <Characters>2501</Characters>
  <Lines>0</Lines>
  <Paragraphs>0</Paragraphs>
  <TotalTime>132</TotalTime>
  <ScaleCrop>false</ScaleCrop>
  <LinksUpToDate>false</LinksUpToDate>
  <CharactersWithSpaces>2503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HP</dc:creator>
  <cp:lastModifiedBy>Administrator</cp:lastModifiedBy>
  <cp:lastPrinted>2024-01-17T07:13:00Z</cp:lastPrinted>
  <dcterms:modified xsi:type="dcterms:W3CDTF">2024-01-23T06:05:21Z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4EA608D090924245AA2E8E678E7EFCED_13</vt:lpwstr>
  </property>
</Properties>
</file>