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梁山县统计局</w:t>
      </w: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numPr>
          <w:ilvl w:val="0"/>
          <w:numId w:val="1"/>
        </w:numPr>
        <w:spacing w:line="590" w:lineRule="exact"/>
        <w:ind w:right="-100" w:rightChars="-50" w:firstLine="643"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总体情况</w:t>
      </w:r>
    </w:p>
    <w:p>
      <w:pPr>
        <w:pStyle w:val="7"/>
        <w:numPr>
          <w:ilvl w:val="0"/>
          <w:numId w:val="0"/>
        </w:numPr>
        <w:rPr>
          <w:rFonts w:hint="default" w:ascii="仿宋_GB2312" w:hAnsi="仿宋_GB2312" w:eastAsia="仿宋_GB2312" w:cs="仿宋_GB2312"/>
          <w:b/>
          <w:bCs/>
          <w:kern w:val="2"/>
          <w:sz w:val="32"/>
          <w:szCs w:val="32"/>
          <w:highlight w:val="none"/>
          <w:lang w:val="en-US" w:eastAsia="zh-CN" w:bidi="ar-SA"/>
        </w:rPr>
      </w:pPr>
      <w:bookmarkStart w:id="0" w:name="_GoBack"/>
      <w:r>
        <w:rPr>
          <w:rFonts w:hint="eastAsia"/>
          <w:highlight w:val="none"/>
          <w:lang w:val="en-US" w:eastAsia="zh-CN"/>
        </w:rPr>
        <w:t xml:space="preserve">  </w:t>
      </w:r>
      <w:r>
        <w:rPr>
          <w:rFonts w:hint="eastAsia"/>
          <w:color w:val="0000FF"/>
          <w:highlight w:val="none"/>
          <w:lang w:val="en-US" w:eastAsia="zh-CN"/>
        </w:rPr>
        <w:t xml:space="preserve"> </w:t>
      </w:r>
      <w:r>
        <w:rPr>
          <w:rFonts w:hint="eastAsia" w:ascii="仿宋_GB2312" w:hAnsi="仿宋_GB2312" w:eastAsia="仿宋_GB2312" w:cs="仿宋_GB2312"/>
          <w:b/>
          <w:bCs/>
          <w:kern w:val="2"/>
          <w:sz w:val="32"/>
          <w:szCs w:val="32"/>
          <w:highlight w:val="none"/>
          <w:lang w:val="en-US" w:eastAsia="zh-CN" w:bidi="ar-SA"/>
        </w:rPr>
        <w:t xml:space="preserve"> 202</w:t>
      </w:r>
      <w:r>
        <w:rPr>
          <w:rFonts w:hint="eastAsia" w:ascii="仿宋_GB2312" w:hAnsi="仿宋_GB2312" w:cs="仿宋_GB2312"/>
          <w:b/>
          <w:bCs/>
          <w:kern w:val="2"/>
          <w:sz w:val="32"/>
          <w:szCs w:val="32"/>
          <w:highlight w:val="none"/>
          <w:lang w:val="en-US" w:eastAsia="zh-CN" w:bidi="ar-SA"/>
        </w:rPr>
        <w:t>2</w:t>
      </w:r>
      <w:r>
        <w:rPr>
          <w:rFonts w:hint="eastAsia" w:ascii="仿宋_GB2312" w:hAnsi="仿宋_GB2312" w:eastAsia="仿宋_GB2312" w:cs="仿宋_GB2312"/>
          <w:b/>
          <w:bCs/>
          <w:kern w:val="2"/>
          <w:sz w:val="32"/>
          <w:szCs w:val="32"/>
          <w:highlight w:val="none"/>
          <w:lang w:val="en-US" w:eastAsia="zh-CN" w:bidi="ar-SA"/>
        </w:rPr>
        <w:t>年，梁山县统计局认真贯彻落实国家和省、市、县关于政府信息公开、政务公开的系列文件精神要求，紧密围绕县委、县政府中心工作，以国家法律法规为依据，始终把政府信息公开工作摆在突出位置，完善政府信息公开体制机制，拓宽政府信息公开发布渠道，着力提升政府信息公开质量，有效保障公民、法人和其他组织的知情权、监督权，切实提高人民群众满意度。</w:t>
      </w:r>
    </w:p>
    <w:p>
      <w:pPr>
        <w:spacing w:line="590" w:lineRule="exact"/>
        <w:ind w:right="-100" w:rightChars="-50" w:firstLine="643" w:firstLineChars="200"/>
        <w:rPr>
          <w:rFonts w:hint="eastAsia" w:ascii="方正楷体简体" w:eastAsia="方正楷体简体"/>
          <w:b/>
          <w:color w:val="000000" w:themeColor="text1"/>
          <w:sz w:val="32"/>
          <w:szCs w:val="32"/>
          <w:highlight w:val="none"/>
          <w:lang w:val="en-US" w:eastAsia="zh-CN"/>
          <w14:textFill>
            <w14:solidFill>
              <w14:schemeClr w14:val="tx1"/>
            </w14:solidFill>
          </w14:textFill>
        </w:rPr>
      </w:pPr>
      <w:r>
        <w:rPr>
          <w:rFonts w:hint="eastAsia" w:ascii="方正楷体简体" w:eastAsia="方正楷体简体"/>
          <w:b/>
          <w:color w:val="000000" w:themeColor="text1"/>
          <w:sz w:val="32"/>
          <w:szCs w:val="32"/>
          <w:highlight w:val="none"/>
          <w:lang w:val="en-US" w:eastAsia="zh-CN"/>
          <w14:textFill>
            <w14:solidFill>
              <w14:schemeClr w14:val="tx1"/>
            </w14:solidFill>
          </w14:textFill>
        </w:rPr>
        <w:t>（一）主动公开情况</w:t>
      </w:r>
    </w:p>
    <w:p>
      <w:pPr>
        <w:pStyle w:val="7"/>
        <w:numPr>
          <w:ilvl w:val="0"/>
          <w:numId w:val="0"/>
        </w:numPr>
        <w:ind w:firstLine="641"/>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cs="仿宋_GB2312"/>
          <w:b/>
          <w:bCs/>
          <w:kern w:val="2"/>
          <w:sz w:val="32"/>
          <w:szCs w:val="32"/>
          <w:highlight w:val="none"/>
          <w:lang w:val="en-US" w:eastAsia="zh-CN" w:bidi="ar-SA"/>
        </w:rPr>
        <w:t>2022年全年，我局</w:t>
      </w:r>
      <w:r>
        <w:rPr>
          <w:rFonts w:hint="eastAsia" w:ascii="仿宋_GB2312" w:hAnsi="仿宋_GB2312" w:eastAsia="仿宋_GB2312" w:cs="仿宋_GB2312"/>
          <w:b/>
          <w:bCs/>
          <w:kern w:val="2"/>
          <w:sz w:val="32"/>
          <w:szCs w:val="32"/>
          <w:highlight w:val="none"/>
          <w:lang w:val="en-US" w:eastAsia="zh-CN" w:bidi="ar-SA"/>
        </w:rPr>
        <w:t>通过梁山县人民政府政务公开门户网站公开发布</w:t>
      </w:r>
      <w:r>
        <w:rPr>
          <w:rFonts w:hint="eastAsia" w:ascii="仿宋_GB2312" w:hAnsi="仿宋_GB2312" w:cs="仿宋_GB2312"/>
          <w:b/>
          <w:bCs/>
          <w:kern w:val="2"/>
          <w:sz w:val="32"/>
          <w:szCs w:val="32"/>
          <w:highlight w:val="none"/>
          <w:lang w:val="en-US" w:eastAsia="zh-CN" w:bidi="ar-SA"/>
        </w:rPr>
        <w:t>统计</w:t>
      </w:r>
      <w:r>
        <w:rPr>
          <w:rFonts w:hint="eastAsia" w:ascii="仿宋_GB2312" w:hAnsi="仿宋_GB2312" w:eastAsia="仿宋_GB2312" w:cs="仿宋_GB2312"/>
          <w:b/>
          <w:bCs/>
          <w:kern w:val="2"/>
          <w:sz w:val="32"/>
          <w:szCs w:val="32"/>
          <w:highlight w:val="none"/>
          <w:lang w:val="en-US" w:eastAsia="zh-CN" w:bidi="ar-SA"/>
        </w:rPr>
        <w:t>各类统计信息等</w:t>
      </w:r>
      <w:r>
        <w:rPr>
          <w:rFonts w:hint="eastAsia" w:ascii="仿宋_GB2312" w:hAnsi="仿宋_GB2312" w:cs="仿宋_GB2312"/>
          <w:b/>
          <w:bCs/>
          <w:kern w:val="2"/>
          <w:sz w:val="32"/>
          <w:szCs w:val="32"/>
          <w:highlight w:val="none"/>
          <w:lang w:val="en-US" w:eastAsia="zh-CN" w:bidi="ar-SA"/>
        </w:rPr>
        <w:t>37</w:t>
      </w:r>
      <w:r>
        <w:rPr>
          <w:rFonts w:hint="eastAsia" w:ascii="仿宋_GB2312" w:hAnsi="仿宋_GB2312" w:eastAsia="仿宋_GB2312" w:cs="仿宋_GB2312"/>
          <w:b/>
          <w:bCs/>
          <w:kern w:val="2"/>
          <w:sz w:val="32"/>
          <w:szCs w:val="32"/>
          <w:highlight w:val="none"/>
          <w:lang w:val="en-US" w:eastAsia="zh-CN" w:bidi="ar-SA"/>
        </w:rPr>
        <w:t>条</w:t>
      </w:r>
      <w:r>
        <w:rPr>
          <w:rFonts w:hint="eastAsia" w:ascii="仿宋_GB2312" w:hAnsi="仿宋_GB2312" w:cs="仿宋_GB2312"/>
          <w:b/>
          <w:bCs/>
          <w:kern w:val="2"/>
          <w:sz w:val="32"/>
          <w:szCs w:val="32"/>
          <w:highlight w:val="none"/>
          <w:lang w:val="en-US" w:eastAsia="zh-CN" w:bidi="ar-SA"/>
        </w:rPr>
        <w:t>，其中统计分析11条，统计公报1条，部门动态25条</w:t>
      </w:r>
      <w:r>
        <w:rPr>
          <w:rFonts w:hint="eastAsia" w:ascii="仿宋_GB2312" w:hAnsi="仿宋_GB2312" w:eastAsia="仿宋_GB2312" w:cs="仿宋_GB2312"/>
          <w:b/>
          <w:bCs/>
          <w:kern w:val="2"/>
          <w:sz w:val="32"/>
          <w:szCs w:val="32"/>
          <w:highlight w:val="none"/>
          <w:lang w:val="en-US" w:eastAsia="zh-CN" w:bidi="ar-SA"/>
        </w:rPr>
        <w:t>。总体来说，202</w:t>
      </w:r>
      <w:r>
        <w:rPr>
          <w:rFonts w:hint="eastAsia" w:ascii="仿宋_GB2312" w:hAnsi="仿宋_GB2312" w:cs="仿宋_GB2312"/>
          <w:b/>
          <w:bCs/>
          <w:kern w:val="2"/>
          <w:sz w:val="32"/>
          <w:szCs w:val="32"/>
          <w:highlight w:val="none"/>
          <w:lang w:val="en-US" w:eastAsia="zh-CN" w:bidi="ar-SA"/>
        </w:rPr>
        <w:t>2</w:t>
      </w:r>
      <w:r>
        <w:rPr>
          <w:rFonts w:hint="eastAsia" w:ascii="仿宋_GB2312" w:hAnsi="仿宋_GB2312" w:eastAsia="仿宋_GB2312" w:cs="仿宋_GB2312"/>
          <w:b/>
          <w:bCs/>
          <w:kern w:val="2"/>
          <w:sz w:val="32"/>
          <w:szCs w:val="32"/>
          <w:highlight w:val="none"/>
          <w:lang w:val="en-US" w:eastAsia="zh-CN" w:bidi="ar-SA"/>
        </w:rPr>
        <w:t>年我局政府信息主动、及时、全面、准确地发布权威统计信息，不断满足公众对统计信息的需求。</w:t>
      </w:r>
    </w:p>
    <w:bookmarkEnd w:id="0"/>
    <w:p>
      <w:pPr>
        <w:pStyle w:val="7"/>
        <w:numPr>
          <w:ilvl w:val="0"/>
          <w:numId w:val="0"/>
        </w:numPr>
        <w:ind w:firstLine="641"/>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drawing>
          <wp:inline distT="0" distB="0" distL="114300" distR="114300">
            <wp:extent cx="3224530" cy="1910080"/>
            <wp:effectExtent l="0" t="0" r="13970" b="1397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a:off x="0" y="0"/>
                      <a:ext cx="3224530" cy="1910080"/>
                    </a:xfrm>
                    <a:prstGeom prst="rect">
                      <a:avLst/>
                    </a:prstGeom>
                  </pic:spPr>
                </pic:pic>
              </a:graphicData>
            </a:graphic>
          </wp:inline>
        </w:drawing>
      </w:r>
    </w:p>
    <w:p>
      <w:pPr>
        <w:pStyle w:val="7"/>
        <w:numPr>
          <w:ilvl w:val="0"/>
          <w:numId w:val="0"/>
        </w:numPr>
        <w:rPr>
          <w:rFonts w:hint="eastAsia" w:eastAsia="仿宋_GB2312"/>
          <w:lang w:val="en-US" w:eastAsia="zh-CN"/>
        </w:rPr>
      </w:pPr>
      <w:r>
        <w:drawing>
          <wp:inline distT="0" distB="0" distL="114300" distR="114300">
            <wp:extent cx="5276215" cy="3679825"/>
            <wp:effectExtent l="0" t="0" r="63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6215" cy="3679825"/>
                    </a:xfrm>
                    <a:prstGeom prst="rect">
                      <a:avLst/>
                    </a:prstGeom>
                    <a:noFill/>
                    <a:ln>
                      <a:noFill/>
                    </a:ln>
                  </pic:spPr>
                </pic:pic>
              </a:graphicData>
            </a:graphic>
          </wp:inline>
        </w:drawing>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964" w:firstLineChars="3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无</w:t>
      </w:r>
    </w:p>
    <w:p>
      <w:pPr>
        <w:numPr>
          <w:ilvl w:val="0"/>
          <w:numId w:val="0"/>
        </w:numPr>
        <w:spacing w:line="590" w:lineRule="exact"/>
        <w:ind w:leftChars="200" w:right="-100" w:rightChars="-50" w:firstLine="321" w:firstLineChars="1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lang w:eastAsia="zh-CN"/>
          <w14:textFill>
            <w14:solidFill>
              <w14:schemeClr w14:val="tx1"/>
            </w14:solidFill>
          </w14:textFill>
        </w:rPr>
        <w:t>（</w:t>
      </w:r>
      <w:r>
        <w:rPr>
          <w:rFonts w:hint="eastAsia" w:ascii="方正楷体简体" w:eastAsia="方正楷体简体"/>
          <w:b/>
          <w:color w:val="000000" w:themeColor="text1"/>
          <w:sz w:val="32"/>
          <w:szCs w:val="32"/>
          <w:lang w:val="en-US" w:eastAsia="zh-CN"/>
          <w14:textFill>
            <w14:solidFill>
              <w14:schemeClr w14:val="tx1"/>
            </w14:solidFill>
          </w14:textFill>
        </w:rPr>
        <w:t>三</w:t>
      </w:r>
      <w:r>
        <w:rPr>
          <w:rFonts w:hint="eastAsia" w:ascii="方正楷体简体" w:eastAsia="方正楷体简体"/>
          <w:b/>
          <w:color w:val="000000" w:themeColor="text1"/>
          <w:sz w:val="32"/>
          <w:szCs w:val="32"/>
          <w:lang w:eastAsia="zh-CN"/>
          <w14:textFill>
            <w14:solidFill>
              <w14:schemeClr w14:val="tx1"/>
            </w14:solidFill>
          </w14:textFill>
        </w:rPr>
        <w:t>）</w:t>
      </w:r>
      <w:r>
        <w:rPr>
          <w:rFonts w:hint="eastAsia" w:ascii="方正楷体简体" w:eastAsia="方正楷体简体"/>
          <w:b/>
          <w:color w:val="000000" w:themeColor="text1"/>
          <w:sz w:val="32"/>
          <w:szCs w:val="32"/>
          <w14:textFill>
            <w14:solidFill>
              <w14:schemeClr w14:val="tx1"/>
            </w14:solidFill>
          </w14:textFill>
        </w:rPr>
        <w:t>政府信息管理情况</w:t>
      </w:r>
    </w:p>
    <w:p>
      <w:pPr>
        <w:spacing w:line="590" w:lineRule="exact"/>
        <w:ind w:right="-100" w:rightChars="-50" w:firstLine="643" w:firstLineChars="20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健全完善工作机制，及时调整信息公开工作领导小组，主要领导任政务公开工作领导小组组长，分管领导任副组长，各科室负责人为成员，并明确1名工作人员具体负责政府信息公开工作。一是党组会议专题研究政府信息公开工作，党组书记亲自听取工作并安排部署；二是及时根据上级工作部署和本单位实际，召开政府信息公开工作推进会、培训会以确保局政务公开工作组织领导有力，工作有序开展；三是规范公开流程。坚持“先审查、后公开”原则，明确主动公开信息的认定、保密审核、法制审核以及信息发布程序，对拟发布的信息坚持分管领导审核确定、工作人员具体落实的信息公开责任机制，确保“涉密信息不公开，公开信息不涉密”</w:t>
      </w:r>
    </w:p>
    <w:p>
      <w:pPr>
        <w:numPr>
          <w:ilvl w:val="0"/>
          <w:numId w:val="0"/>
        </w:numPr>
        <w:spacing w:line="590" w:lineRule="exact"/>
        <w:ind w:right="-100" w:rightChars="-50" w:firstLine="643" w:firstLineChars="200"/>
        <w:rPr>
          <w:rFonts w:hint="eastAsia" w:ascii="方正楷体简体" w:eastAsia="方正楷体简体"/>
          <w:b/>
          <w:color w:val="auto"/>
          <w:sz w:val="32"/>
          <w:szCs w:val="32"/>
          <w:highlight w:val="none"/>
        </w:rPr>
      </w:pPr>
      <w:r>
        <w:rPr>
          <w:rFonts w:hint="eastAsia" w:ascii="方正楷体简体" w:eastAsia="方正楷体简体"/>
          <w:b/>
          <w:color w:val="auto"/>
          <w:sz w:val="32"/>
          <w:szCs w:val="32"/>
          <w:highlight w:val="none"/>
          <w:lang w:eastAsia="zh-CN"/>
        </w:rPr>
        <w:t>（</w:t>
      </w:r>
      <w:r>
        <w:rPr>
          <w:rFonts w:hint="eastAsia" w:ascii="方正楷体简体" w:eastAsia="方正楷体简体"/>
          <w:b/>
          <w:color w:val="auto"/>
          <w:sz w:val="32"/>
          <w:szCs w:val="32"/>
          <w:highlight w:val="none"/>
          <w:lang w:val="en-US" w:eastAsia="zh-CN"/>
        </w:rPr>
        <w:t>四</w:t>
      </w:r>
      <w:r>
        <w:rPr>
          <w:rFonts w:hint="eastAsia" w:ascii="方正楷体简体" w:eastAsia="方正楷体简体"/>
          <w:b/>
          <w:color w:val="auto"/>
          <w:sz w:val="32"/>
          <w:szCs w:val="32"/>
          <w:highlight w:val="none"/>
          <w:lang w:eastAsia="zh-CN"/>
        </w:rPr>
        <w:t>）</w:t>
      </w:r>
      <w:r>
        <w:rPr>
          <w:rFonts w:hint="eastAsia" w:ascii="方正楷体简体" w:eastAsia="方正楷体简体"/>
          <w:b/>
          <w:color w:val="auto"/>
          <w:sz w:val="32"/>
          <w:szCs w:val="32"/>
          <w:highlight w:val="none"/>
        </w:rPr>
        <w:t>政府信息公开平台建设情况</w:t>
      </w:r>
    </w:p>
    <w:p>
      <w:pPr>
        <w:pStyle w:val="2"/>
        <w:numPr>
          <w:ilvl w:val="0"/>
          <w:numId w:val="0"/>
        </w:numPr>
        <w:ind w:firstLine="643" w:firstLineChars="200"/>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充分发挥政府政务公开平台作用，认真认真做好常规主动公开信息加载更新，加强统计数据解读和权威数据发布。</w:t>
      </w:r>
    </w:p>
    <w:p>
      <w:pPr>
        <w:numPr>
          <w:ilvl w:val="0"/>
          <w:numId w:val="0"/>
        </w:numPr>
        <w:spacing w:line="590" w:lineRule="exact"/>
        <w:ind w:leftChars="200" w:right="-100" w:rightChars="-50" w:firstLine="321" w:firstLineChars="100"/>
        <w:rPr>
          <w:rFonts w:hint="eastAsia" w:ascii="方正楷体简体" w:eastAsia="方正楷体简体"/>
          <w:b/>
          <w:color w:val="auto"/>
          <w:sz w:val="32"/>
          <w:szCs w:val="32"/>
          <w:highlight w:val="none"/>
        </w:rPr>
      </w:pPr>
      <w:r>
        <w:rPr>
          <w:rFonts w:hint="eastAsia" w:ascii="方正楷体简体" w:eastAsia="方正楷体简体"/>
          <w:b/>
          <w:color w:val="auto"/>
          <w:sz w:val="32"/>
          <w:szCs w:val="32"/>
          <w:highlight w:val="none"/>
          <w:lang w:eastAsia="zh-CN"/>
        </w:rPr>
        <w:t>（</w:t>
      </w:r>
      <w:r>
        <w:rPr>
          <w:rFonts w:hint="eastAsia" w:ascii="方正楷体简体" w:eastAsia="方正楷体简体"/>
          <w:b/>
          <w:color w:val="auto"/>
          <w:sz w:val="32"/>
          <w:szCs w:val="32"/>
          <w:highlight w:val="none"/>
          <w:lang w:val="en-US" w:eastAsia="zh-CN"/>
        </w:rPr>
        <w:t>五</w:t>
      </w:r>
      <w:r>
        <w:rPr>
          <w:rFonts w:hint="eastAsia" w:ascii="方正楷体简体" w:eastAsia="方正楷体简体"/>
          <w:b/>
          <w:color w:val="auto"/>
          <w:sz w:val="32"/>
          <w:szCs w:val="32"/>
          <w:highlight w:val="none"/>
          <w:lang w:eastAsia="zh-CN"/>
        </w:rPr>
        <w:t>）</w:t>
      </w:r>
      <w:r>
        <w:rPr>
          <w:rFonts w:hint="eastAsia" w:ascii="方正楷体简体" w:eastAsia="方正楷体简体"/>
          <w:b/>
          <w:color w:val="auto"/>
          <w:sz w:val="32"/>
          <w:szCs w:val="32"/>
          <w:highlight w:val="none"/>
        </w:rPr>
        <w:t>监督保障情况</w:t>
      </w:r>
    </w:p>
    <w:p>
      <w:pPr>
        <w:spacing w:line="590" w:lineRule="exact"/>
        <w:ind w:right="-100" w:rightChars="-50" w:firstLine="643" w:firstLineChars="200"/>
        <w:rPr>
          <w:rFonts w:hint="eastAsia"/>
          <w:lang w:val="en-US" w:eastAsia="zh-CN"/>
        </w:rPr>
      </w:pPr>
      <w:r>
        <w:rPr>
          <w:rFonts w:hint="eastAsia" w:ascii="仿宋_GB2312" w:hAnsi="仿宋_GB2312" w:eastAsia="仿宋_GB2312" w:cs="仿宋_GB2312"/>
          <w:b/>
          <w:bCs/>
          <w:kern w:val="2"/>
          <w:sz w:val="32"/>
          <w:szCs w:val="32"/>
          <w:highlight w:val="none"/>
          <w:lang w:val="en-US" w:eastAsia="zh-CN" w:bidi="ar-SA"/>
        </w:rPr>
        <w:t>加强学习提升业务技能。</w:t>
      </w:r>
      <w:r>
        <w:rPr>
          <w:rFonts w:hint="eastAsia" w:ascii="仿宋_GB2312" w:hAnsi="仿宋_GB2312" w:eastAsia="仿宋_GB2312" w:cs="仿宋_GB2312"/>
          <w:b/>
          <w:bCs/>
          <w:kern w:val="2"/>
          <w:sz w:val="32"/>
          <w:szCs w:val="32"/>
          <w:lang w:val="en-US" w:eastAsia="zh-CN" w:bidi="ar-SA"/>
        </w:rPr>
        <w:t>2022年梁山县统计局开展政务公开培训3次；参加县集中培训1次。</w:t>
      </w:r>
    </w:p>
    <w:p>
      <w:pPr>
        <w:numPr>
          <w:ilvl w:val="0"/>
          <w:numId w:val="1"/>
        </w:numPr>
        <w:spacing w:line="590" w:lineRule="exact"/>
        <w:ind w:left="0" w:leftChars="0" w:right="-100" w:rightChars="-50" w:firstLine="643"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FF0000"/>
                <w:kern w:val="0"/>
                <w:szCs w:val="21"/>
                <w:lang w:val="en-US" w:eastAsia="zh-CN"/>
              </w:rPr>
            </w:pPr>
            <w:r>
              <w:rPr>
                <w:rFonts w:hint="eastAsia" w:ascii="仿宋_GB2312" w:hAnsi="宋体" w:eastAsia="仿宋_GB2312" w:cs="宋体"/>
                <w:color w:val="FF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FF0000"/>
                <w:kern w:val="0"/>
                <w:szCs w:val="21"/>
              </w:rPr>
            </w:pPr>
            <w:r>
              <w:rPr>
                <w:rFonts w:hint="eastAsia" w:ascii="仿宋_GB2312" w:hAnsi="宋体" w:eastAsia="仿宋_GB2312" w:cs="宋体"/>
                <w:color w:val="FF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FF0000"/>
                <w:kern w:val="0"/>
                <w:szCs w:val="21"/>
              </w:rPr>
            </w:pPr>
            <w:r>
              <w:rPr>
                <w:rFonts w:hint="eastAsia" w:ascii="仿宋_GB2312" w:hAnsi="宋体" w:eastAsia="仿宋_GB2312" w:cs="宋体"/>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FF0000"/>
                <w:kern w:val="0"/>
                <w:szCs w:val="21"/>
                <w:lang w:eastAsia="zh-CN"/>
              </w:rPr>
            </w:pPr>
            <w:r>
              <w:rPr>
                <w:rFonts w:hint="eastAsia" w:ascii="仿宋_GB2312" w:hAnsi="宋体" w:eastAsia="仿宋_GB2312" w:cs="宋体"/>
                <w:color w:val="FF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FF0000"/>
                <w:kern w:val="0"/>
                <w:szCs w:val="21"/>
                <w:lang w:eastAsia="zh-CN"/>
              </w:rPr>
            </w:pPr>
            <w:r>
              <w:rPr>
                <w:rFonts w:hint="eastAsia" w:ascii="仿宋_GB2312" w:hAnsi="宋体" w:eastAsia="仿宋_GB2312" w:cs="宋体"/>
                <w:color w:val="FF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FF0000"/>
                <w:kern w:val="0"/>
                <w:szCs w:val="21"/>
                <w:lang w:eastAsia="zh-CN"/>
              </w:rPr>
            </w:pPr>
            <w:r>
              <w:rPr>
                <w:rFonts w:hint="eastAsia" w:ascii="仿宋_GB2312" w:hAnsi="宋体" w:eastAsia="仿宋_GB2312" w:cs="宋体"/>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FF0000"/>
                <w:kern w:val="0"/>
                <w:szCs w:val="21"/>
                <w:lang w:eastAsia="zh-CN"/>
              </w:rPr>
            </w:pPr>
            <w:r>
              <w:rPr>
                <w:rFonts w:hint="eastAsia" w:ascii="仿宋_GB2312" w:hAnsi="Calibri" w:eastAsia="仿宋_GB2312" w:cs="Calibri"/>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FF0000"/>
                <w:kern w:val="0"/>
                <w:szCs w:val="21"/>
                <w:lang w:eastAsia="zh-CN"/>
              </w:rPr>
            </w:pPr>
            <w:r>
              <w:rPr>
                <w:rFonts w:hint="eastAsia" w:ascii="仿宋_GB2312" w:hAnsi="Calibri" w:eastAsia="仿宋_GB2312" w:cs="Calibri"/>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FF0000"/>
                <w:kern w:val="0"/>
                <w:szCs w:val="21"/>
                <w:lang w:val="en-US" w:eastAsia="zh-CN"/>
              </w:rPr>
              <w:t>0</w:t>
            </w:r>
          </w:p>
        </w:tc>
      </w:tr>
    </w:tbl>
    <w:p>
      <w:pPr>
        <w:pStyle w:val="2"/>
        <w:numPr>
          <w:ilvl w:val="0"/>
          <w:numId w:val="0"/>
        </w:numPr>
        <w:ind w:leftChars="200"/>
      </w:pPr>
    </w:p>
    <w:p/>
    <w:p>
      <w:pPr>
        <w:pStyle w:val="2"/>
      </w:pPr>
    </w:p>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宋体" w:cs="Times New Roman"/>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3" w:firstLineChars="200"/>
        <w:rPr>
          <w:rFonts w:hint="eastAsia" w:ascii="方正黑体简体" w:eastAsia="方正黑体简体"/>
          <w:b/>
          <w:sz w:val="32"/>
          <w:szCs w:val="32"/>
        </w:rPr>
      </w:pPr>
    </w:p>
    <w:p>
      <w:pPr>
        <w:spacing w:line="590" w:lineRule="exact"/>
        <w:ind w:right="-100" w:rightChars="-50" w:firstLine="643" w:firstLineChars="200"/>
        <w:rPr>
          <w:rFonts w:hint="eastAsia" w:ascii="方正黑体简体" w:eastAsia="方正黑体简体"/>
          <w:b/>
          <w:sz w:val="32"/>
          <w:szCs w:val="32"/>
        </w:rPr>
      </w:pP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numPr>
          <w:ilvl w:val="0"/>
          <w:numId w:val="2"/>
        </w:numPr>
        <w:spacing w:line="590" w:lineRule="exact"/>
        <w:ind w:right="-100" w:rightChars="-50" w:firstLine="643" w:firstLineChars="200"/>
        <w:rPr>
          <w:rFonts w:hint="eastAsia" w:ascii="方正黑体简体" w:eastAsia="方正黑体简体"/>
          <w:b/>
          <w:color w:val="auto"/>
          <w:sz w:val="32"/>
          <w:szCs w:val="32"/>
        </w:rPr>
      </w:pPr>
      <w:r>
        <w:rPr>
          <w:rFonts w:hint="eastAsia" w:ascii="方正黑体简体" w:eastAsia="方正黑体简体"/>
          <w:b/>
          <w:color w:val="auto"/>
          <w:sz w:val="32"/>
          <w:szCs w:val="32"/>
        </w:rPr>
        <w:t>存在的主要问题及改进情况</w:t>
      </w:r>
    </w:p>
    <w:p>
      <w:pPr>
        <w:spacing w:line="590" w:lineRule="exact"/>
        <w:ind w:right="-100" w:rightChars="-50" w:firstLine="643" w:firstLineChars="200"/>
        <w:rPr>
          <w:rFonts w:hint="eastAsia" w:ascii="仿宋_GB2312" w:hAnsi="仿宋_GB2312" w:eastAsia="仿宋_GB2312" w:cs="仿宋_GB2312"/>
          <w:b/>
          <w:bCs/>
          <w:kern w:val="2"/>
          <w:sz w:val="32"/>
          <w:szCs w:val="32"/>
          <w:highlight w:val="yellow"/>
          <w:lang w:val="en-US" w:eastAsia="zh-CN" w:bidi="ar-SA"/>
        </w:rPr>
      </w:pPr>
      <w:r>
        <w:rPr>
          <w:rFonts w:hint="eastAsia" w:ascii="仿宋_GB2312" w:hAnsi="仿宋_GB2312" w:eastAsia="仿宋_GB2312" w:cs="仿宋_GB2312"/>
          <w:b/>
          <w:bCs/>
          <w:kern w:val="2"/>
          <w:sz w:val="32"/>
          <w:szCs w:val="32"/>
          <w:highlight w:val="none"/>
          <w:lang w:val="en-US" w:eastAsia="zh-CN" w:bidi="ar-SA"/>
        </w:rPr>
        <w:t>2022年我局政府信息公开工作有序开展，但还存在制度建设不够完善 、信息公开工作的广度和深度有待加强等问题。下一步我局将对政府信息进行系统的梳理和分类，提高信息更新效率，拓宽公开渠道、丰富公开形式，提供更加方便快捷的信息公开服务。</w:t>
      </w:r>
    </w:p>
    <w:p>
      <w:pPr>
        <w:spacing w:line="590" w:lineRule="exact"/>
        <w:ind w:right="-100" w:rightChars="-50" w:firstLine="643" w:firstLineChars="200"/>
        <w:rPr>
          <w:rFonts w:ascii="方正黑体简体" w:eastAsia="方正黑体简体"/>
          <w:b/>
          <w:color w:val="auto"/>
          <w:sz w:val="32"/>
          <w:szCs w:val="32"/>
        </w:rPr>
      </w:pPr>
      <w:r>
        <w:rPr>
          <w:rFonts w:hint="eastAsia" w:ascii="方正黑体简体" w:eastAsia="方正黑体简体"/>
          <w:b/>
          <w:color w:val="auto"/>
          <w:sz w:val="32"/>
          <w:szCs w:val="32"/>
        </w:rPr>
        <w:t>六、其他需要报告的事项</w:t>
      </w:r>
    </w:p>
    <w:p>
      <w:pPr>
        <w:pStyle w:val="3"/>
        <w:keepNext w:val="0"/>
        <w:keepLines w:val="0"/>
        <w:widowControl/>
        <w:suppressLineNumbers w:val="0"/>
        <w:spacing w:before="0" w:beforeAutospacing="0" w:after="0" w:afterAutospacing="0" w:line="420" w:lineRule="atLeast"/>
        <w:ind w:left="0" w:right="0" w:firstLine="420"/>
        <w:jc w:val="left"/>
        <w:rPr>
          <w:rFonts w:hint="eastAsia"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（一）依据《政府信息公开信息处理费管理办法》规定，我单位2022年未收取相关费用;</w:t>
      </w:r>
    </w:p>
    <w:p>
      <w:pPr>
        <w:pStyle w:val="3"/>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（二）梁山县统计局人大代表建议和政协提案办理结果公开情况：无。</w:t>
      </w:r>
    </w:p>
    <w:p>
      <w:pPr>
        <w:pStyle w:val="3"/>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（三）年度政务公开工作创新情况：无。</w:t>
      </w:r>
    </w:p>
    <w:p>
      <w:pPr>
        <w:pStyle w:val="3"/>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（四）政府信息公开工作年度报告数据统计需要说明的事项：无。</w:t>
      </w:r>
    </w:p>
    <w:p>
      <w:pPr>
        <w:pStyle w:val="3"/>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（五）认为需要报告的其他事项：无。</w:t>
      </w:r>
    </w:p>
    <w:p>
      <w:pPr>
        <w:pStyle w:val="3"/>
        <w:keepNext w:val="0"/>
        <w:keepLines w:val="0"/>
        <w:widowControl/>
        <w:suppressLineNumbers w:val="0"/>
        <w:spacing w:before="0" w:beforeAutospacing="0" w:after="0" w:afterAutospacing="0" w:line="420" w:lineRule="atLeast"/>
        <w:ind w:left="0" w:right="0" w:firstLine="420"/>
        <w:jc w:val="left"/>
      </w:pPr>
      <w:r>
        <w:rPr>
          <w:rFonts w:hint="default" w:ascii="仿宋_GB2312" w:hAnsi="仿宋_GB2312" w:eastAsia="仿宋_GB2312" w:cs="仿宋_GB2312"/>
          <w:b/>
          <w:bCs/>
          <w:kern w:val="2"/>
          <w:sz w:val="32"/>
          <w:szCs w:val="32"/>
          <w:lang w:val="en-US" w:eastAsia="zh-CN" w:bidi="ar-SA"/>
        </w:rPr>
        <w:t>（六）其他有关文件专门要求通过政府信息公开工作年度报告予以报告的事项：无。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E01F6"/>
    <w:multiLevelType w:val="singleLevel"/>
    <w:tmpl w:val="35DE01F6"/>
    <w:lvl w:ilvl="0" w:tentative="0">
      <w:start w:val="5"/>
      <w:numFmt w:val="chineseCounting"/>
      <w:suff w:val="nothing"/>
      <w:lvlText w:val="%1、"/>
      <w:lvlJc w:val="left"/>
      <w:rPr>
        <w:rFonts w:hint="eastAsia"/>
      </w:rPr>
    </w:lvl>
  </w:abstractNum>
  <w:abstractNum w:abstractNumId="1">
    <w:nsid w:val="3B579FF5"/>
    <w:multiLevelType w:val="singleLevel"/>
    <w:tmpl w:val="3B579FF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mViYjg0ZjIxMDk5YjFiNzg3NzllNmUwM2FiZjkifQ=="/>
  </w:docVars>
  <w:rsids>
    <w:rsidRoot w:val="00000000"/>
    <w:rsid w:val="030516AD"/>
    <w:rsid w:val="05C92573"/>
    <w:rsid w:val="05F817E8"/>
    <w:rsid w:val="064A73D7"/>
    <w:rsid w:val="088E3EF3"/>
    <w:rsid w:val="0B3D4DF3"/>
    <w:rsid w:val="0CF54541"/>
    <w:rsid w:val="0E67321C"/>
    <w:rsid w:val="0EFF26BD"/>
    <w:rsid w:val="114A472F"/>
    <w:rsid w:val="12BC340B"/>
    <w:rsid w:val="14237BE5"/>
    <w:rsid w:val="14815B34"/>
    <w:rsid w:val="14A625C4"/>
    <w:rsid w:val="155E4C4D"/>
    <w:rsid w:val="18574301"/>
    <w:rsid w:val="1AD03EF7"/>
    <w:rsid w:val="1C3A5A50"/>
    <w:rsid w:val="1F593949"/>
    <w:rsid w:val="1FAA72E5"/>
    <w:rsid w:val="206770AC"/>
    <w:rsid w:val="22B82617"/>
    <w:rsid w:val="25D845A8"/>
    <w:rsid w:val="25E35426"/>
    <w:rsid w:val="26DE529C"/>
    <w:rsid w:val="273358F1"/>
    <w:rsid w:val="27435A51"/>
    <w:rsid w:val="28F271E4"/>
    <w:rsid w:val="297665B1"/>
    <w:rsid w:val="2B4235AA"/>
    <w:rsid w:val="2B704EBF"/>
    <w:rsid w:val="2BC8344F"/>
    <w:rsid w:val="2C212804"/>
    <w:rsid w:val="2C473D08"/>
    <w:rsid w:val="2D9D235F"/>
    <w:rsid w:val="2F713AA3"/>
    <w:rsid w:val="30556F21"/>
    <w:rsid w:val="309F0729"/>
    <w:rsid w:val="314F49AD"/>
    <w:rsid w:val="31E85B72"/>
    <w:rsid w:val="336456CD"/>
    <w:rsid w:val="33BB0DED"/>
    <w:rsid w:val="3B424545"/>
    <w:rsid w:val="3DC61E48"/>
    <w:rsid w:val="40E4272E"/>
    <w:rsid w:val="42397758"/>
    <w:rsid w:val="424B0183"/>
    <w:rsid w:val="462553FE"/>
    <w:rsid w:val="489857A5"/>
    <w:rsid w:val="49DE18DD"/>
    <w:rsid w:val="4CB372AB"/>
    <w:rsid w:val="4D2B5711"/>
    <w:rsid w:val="4D860521"/>
    <w:rsid w:val="4ED41501"/>
    <w:rsid w:val="51CB2747"/>
    <w:rsid w:val="54D50792"/>
    <w:rsid w:val="5642556D"/>
    <w:rsid w:val="56FA587C"/>
    <w:rsid w:val="5829244D"/>
    <w:rsid w:val="5B2D7FCE"/>
    <w:rsid w:val="5C915A12"/>
    <w:rsid w:val="5E4628FE"/>
    <w:rsid w:val="60573503"/>
    <w:rsid w:val="60C675DC"/>
    <w:rsid w:val="64906CC4"/>
    <w:rsid w:val="65DF5B70"/>
    <w:rsid w:val="67270E9C"/>
    <w:rsid w:val="68182006"/>
    <w:rsid w:val="699A7177"/>
    <w:rsid w:val="6AAD2EDA"/>
    <w:rsid w:val="6AB029CA"/>
    <w:rsid w:val="6E407BC1"/>
    <w:rsid w:val="6EEE3AC1"/>
    <w:rsid w:val="72200435"/>
    <w:rsid w:val="7521699E"/>
    <w:rsid w:val="753C37D8"/>
    <w:rsid w:val="766D79C1"/>
    <w:rsid w:val="77901470"/>
    <w:rsid w:val="78CF4963"/>
    <w:rsid w:val="7A3B67A5"/>
    <w:rsid w:val="7A626F5E"/>
    <w:rsid w:val="7F2D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 w:type="paragraph" w:customStyle="1" w:styleId="7">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1921</Words>
  <Characters>1964</Characters>
  <Lines>0</Lines>
  <Paragraphs>0</Paragraphs>
  <TotalTime>47</TotalTime>
  <ScaleCrop>false</ScaleCrop>
  <LinksUpToDate>false</LinksUpToDate>
  <CharactersWithSpaces>1969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2022-01-05T06:10:00Z</dcterms:created>
  <dc:creator>LJ</dc:creator>
  <cp:lastModifiedBy>WPS_1462964727</cp:lastModifiedBy>
  <dcterms:modified xsi:type="dcterms:W3CDTF">2023-02-20T08:31:39Z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DA44BCC3FE8841D090D56E8F4634CA32</vt:lpwstr>
  </property>
</Properties>
</file>