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梁山县公安局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梁山县公安局认真贯彻落实《中华人民共和国政府信息公开条例》，把政务公开与部门工作相结合，将政府信息公开纳入日常工作中，重新凋整局政务公开领导小组，进一步健全工作机制，规范公开内容，配备专兼职人员，积极做好动公开政府信息的维护、更新和报送工作，以公开促落实、促规范、促服务，切实提升政务公开工作水平，方便公众上网咨询、查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加强领导，统筹安排部署各项工作。我局成立了政务公开工作领导小组，对政务公开工作落实了专人负责，并进一步完善了政务公开各项制度，确保政府信息公开工作持续良好开展。坚持考核评估，强化监督，健全完善监督机制，使我局政务信息公开工作进一步规范化、制度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落实责任，推动公开工作有序开展。我局明确了各科室政务信息公开工作职责，明确专职人员进行信息公开报送，进一步明确政务公开责任追究办法，完善保密审查等程序，完善配套制度，确保政务信息公开工作取得实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（三）突出重点，加强公安系统行政信息公开。我局通过局网站、公示栏、电子显示屏等多种渠道将政府信息公开向基层群众延伸，为公众就近获取政府信息提供便利。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公安局积极做好政府信息主动公开工作,及时公开人力资源社会保障法规文件、组织机构、权责清单、人事信息、公告公示等信息，全年公开发布信息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170"/>
        <w:gridCol w:w="1857"/>
        <w:gridCol w:w="758"/>
        <w:gridCol w:w="709"/>
        <w:gridCol w:w="709"/>
        <w:gridCol w:w="758"/>
        <w:gridCol w:w="893"/>
        <w:gridCol w:w="685"/>
        <w:gridCol w:w="6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 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县公安局政府信息公开工作在县政府的领导下，取得了一定成效，但工作中还存在一些问题：一是政务信息公开的主动性还不够强，对政府信息公开重要性的认识仍需进一步提高；二是部分信息公开欠规范，公开的内容有待进一步完善。在今后的工作中，我们将认真按照县政府的各项要求，做好以下几项工作：一是明确责任，进一步做好《中华人民共和国政府信息公开条例》的实施工作；二是加强管理，进一步增强信息公开工作实效；三是加大宣传，提高信息公开的社会参与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05688"/>
    <w:rsid w:val="1B0E05BC"/>
    <w:rsid w:val="4E10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2022-01-06T08:02:00Z</dcterms:created>
  <dc:creator>卡布奇诺</dc:creator>
  <cp:lastModifiedBy>卡布奇诺</cp:lastModifiedBy>
  <dcterms:modified xsi:type="dcterms:W3CDTF">2023-01-31T03:16:39Z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