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方正小标宋简体" w:hAnsi="方正小标宋简体" w:eastAsia="方正小标宋简体" w:cs="方正小标宋简体"/>
          <w:color w:val="333333"/>
          <w:sz w:val="44"/>
          <w:szCs w:val="44"/>
          <w:bdr w:val="none" w:color="auto" w:sz="0" w:space="0"/>
        </w:rPr>
      </w:pPr>
      <w:bookmarkStart w:id="0" w:name="_GoBack"/>
      <w:r>
        <w:rPr>
          <w:rFonts w:hint="eastAsia" w:ascii="方正小标宋简体" w:hAnsi="方正小标宋简体" w:eastAsia="方正小标宋简体" w:cs="方正小标宋简体"/>
          <w:color w:val="333333"/>
          <w:sz w:val="44"/>
          <w:szCs w:val="44"/>
          <w:bdr w:val="none" w:color="auto" w:sz="0" w:space="0"/>
        </w:rPr>
        <w:t>201</w:t>
      </w:r>
      <w:r>
        <w:rPr>
          <w:rFonts w:hint="eastAsia" w:ascii="方正小标宋简体" w:hAnsi="方正小标宋简体" w:eastAsia="方正小标宋简体" w:cs="方正小标宋简体"/>
          <w:color w:val="333333"/>
          <w:sz w:val="44"/>
          <w:szCs w:val="44"/>
          <w:bdr w:val="none" w:color="auto" w:sz="0" w:space="0"/>
          <w:lang w:val="en-US" w:eastAsia="zh-CN"/>
        </w:rPr>
        <w:t>3</w:t>
      </w:r>
      <w:r>
        <w:rPr>
          <w:rFonts w:hint="eastAsia" w:ascii="方正小标宋简体" w:hAnsi="方正小标宋简体" w:eastAsia="方正小标宋简体" w:cs="方正小标宋简体"/>
          <w:color w:val="333333"/>
          <w:sz w:val="44"/>
          <w:szCs w:val="44"/>
          <w:bdr w:val="none" w:color="auto" w:sz="0" w:space="0"/>
        </w:rPr>
        <w:t>年度梁山县发改局政府信息公开</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eastAsiaTheme="minorEastAsia"/>
          <w:color w:val="333333"/>
          <w:sz w:val="24"/>
          <w:szCs w:val="24"/>
          <w:bdr w:val="none" w:color="auto" w:sz="0" w:space="0"/>
          <w:lang w:eastAsia="zh-CN"/>
        </w:rPr>
      </w:pPr>
      <w:r>
        <w:rPr>
          <w:rFonts w:hint="eastAsia" w:ascii="方正小标宋简体" w:hAnsi="方正小标宋简体" w:eastAsia="方正小标宋简体" w:cs="方正小标宋简体"/>
          <w:color w:val="333333"/>
          <w:sz w:val="44"/>
          <w:szCs w:val="44"/>
          <w:bdr w:val="none" w:color="auto" w:sz="0" w:space="0"/>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根据《中华人民共和国政府信息公开条例》和《山东省政府信息公开办法》要求，县发改局积极开展信息公开年度报告编制工作。本报告涵盖2013年1月1日到12月31日的公开政府信息。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2013年，县发改局在县委、县政府的正确领导下，认真贯彻省、市、县关于做好政府信息公开工作的文件精神，全面落实《中华人民共和国政府信息公开条例》，扎实认真开展政府信息公开工作。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二、政府信息公开的组织领导和制度建设情况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（一）高度重视，加强组织领导。成立了由主要负责人为组长的政府信息公开领导小组，办公室牵头做好政府信息公开管理工作，做到任务分解到人，责任落实到位，保证信息全面、及时、准确的公开。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（二）完善机制，健全规章制度。进一步建立健全政府信息公开工作机制，完善了政府信息公开工作实施方案、公开流程、保密制度等规章制度，确保政府信息公开工作依法、有序开展。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三、政府信息公开申请的办理情况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2013年度</w:t>
      </w:r>
      <w:r>
        <w:rPr>
          <w:rFonts w:hint="eastAsia" w:ascii="仿宋_GB2312" w:hAnsi="仿宋_GB2312" w:eastAsia="仿宋_GB2312" w:cs="仿宋_GB2312"/>
          <w:color w:val="333333"/>
          <w:sz w:val="32"/>
          <w:szCs w:val="32"/>
          <w:bdr w:val="none" w:color="auto" w:sz="0" w:space="0"/>
          <w:lang w:val="en-US" w:eastAsia="zh-CN"/>
        </w:rPr>
        <w:t>梁山</w:t>
      </w:r>
      <w:r>
        <w:rPr>
          <w:rFonts w:hint="eastAsia" w:ascii="仿宋_GB2312" w:hAnsi="仿宋_GB2312" w:eastAsia="仿宋_GB2312" w:cs="仿宋_GB2312"/>
          <w:color w:val="333333"/>
          <w:sz w:val="32"/>
          <w:szCs w:val="32"/>
          <w:bdr w:val="none" w:color="auto" w:sz="0" w:space="0"/>
        </w:rPr>
        <w:t>县发改局没有收到政府信息公开申请。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四、政府信息公开收费及减免情况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2013年度我局公开的政府信息都是免费信息。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五、因政府信息公开申请提起行政复议、行政诉讼的情况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2013年度未发生针对本部门有关政府信息公开事务的行政复议和行政诉讼。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六、政府信息公开保密审查及监督检查情况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政务公开保密审查遵循依法审查，“谁主管谁负责；谁公开谁审查”的原则。在公开政府信息前，依法进行保密审查，做到有领导分管、有科室负责、有专人实施，确保信息公开的安全性。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七、政府信息公开工作存在的主要问题及改进措施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2013年，我局政府信息公开工作在深化政府信息公开内容、完善政府信息公开配套制度等方面着手努力，取得了一定成效，但政府信息公开工作还存在一定的差距。下一步深化政府信息公开内容，及时、规范做好政府信息公开工作，注重信息公开内容与群众需求紧密联系，加大公开信息的收集、上传、更新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八、需要说明的事项与附表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firstLine="420"/>
        <w:jc w:val="left"/>
        <w:rPr>
          <w:rFonts w:hint="eastAsia" w:ascii="仿宋_GB2312" w:hAnsi="仿宋_GB2312" w:eastAsia="仿宋_GB2312" w:cs="仿宋_GB2312"/>
          <w:color w:val="333333"/>
          <w:sz w:val="32"/>
          <w:szCs w:val="32"/>
          <w:bdr w:val="none" w:color="auto" w:sz="0" w:space="0"/>
        </w:rPr>
      </w:pPr>
      <w:r>
        <w:rPr>
          <w:rFonts w:hint="eastAsia" w:ascii="仿宋_GB2312" w:hAnsi="仿宋_GB2312" w:eastAsia="仿宋_GB2312" w:cs="仿宋_GB2312"/>
          <w:color w:val="333333"/>
          <w:sz w:val="32"/>
          <w:szCs w:val="32"/>
          <w:bdr w:val="none" w:color="auto" w:sz="0" w:space="0"/>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firstLine="420"/>
        <w:jc w:val="right"/>
        <w:rPr>
          <w:rFonts w:hint="eastAsia" w:ascii="仿宋_GB2312" w:hAnsi="仿宋_GB2312" w:eastAsia="仿宋_GB2312" w:cs="仿宋_GB2312"/>
          <w:color w:val="333333"/>
          <w:sz w:val="32"/>
          <w:szCs w:val="32"/>
          <w:bdr w:val="none" w:color="auto" w:sz="0" w:space="0"/>
          <w:lang w:val="en-US" w:eastAsia="zh-CN"/>
        </w:rPr>
      </w:pPr>
      <w:r>
        <w:rPr>
          <w:rFonts w:hint="eastAsia" w:ascii="仿宋_GB2312" w:hAnsi="仿宋_GB2312" w:eastAsia="仿宋_GB2312" w:cs="仿宋_GB2312"/>
          <w:color w:val="333333"/>
          <w:sz w:val="32"/>
          <w:szCs w:val="32"/>
          <w:bdr w:val="none" w:color="auto" w:sz="0" w:space="0"/>
          <w:lang w:val="en-US" w:eastAsia="zh-CN"/>
        </w:rPr>
        <w:t>2014年1月22日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firstLine="420"/>
        <w:jc w:val="right"/>
        <w:rPr>
          <w:rFonts w:hint="default" w:ascii="仿宋_GB2312" w:hAnsi="仿宋_GB2312" w:eastAsia="仿宋_GB2312" w:cs="仿宋_GB2312"/>
          <w:color w:val="333333"/>
          <w:sz w:val="32"/>
          <w:szCs w:val="32"/>
          <w:bdr w:val="none" w:color="auto" w:sz="0" w:space="0"/>
          <w:lang w:val="en-US" w:eastAsia="zh-CN"/>
        </w:rPr>
      </w:pPr>
      <w:r>
        <w:rPr>
          <w:rFonts w:hint="eastAsia" w:ascii="仿宋_GB2312" w:hAnsi="仿宋_GB2312" w:eastAsia="仿宋_GB2312" w:cs="仿宋_GB2312"/>
          <w:color w:val="333333"/>
          <w:sz w:val="32"/>
          <w:szCs w:val="32"/>
          <w:bdr w:val="none" w:color="auto" w:sz="0" w:space="0"/>
          <w:lang w:val="en-US" w:eastAsia="zh-CN"/>
        </w:rPr>
        <w:t>梁山县发展和改革局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color w:val="333333"/>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34467"/>
    <w:rsid w:val="42934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2020-09-11T08:14:00Z</dcterms:created>
  <dc:creator>bright</dc:creator>
  <cp:lastModifiedBy>bright</cp:lastModifiedBy>
  <dcterms:modified xsi:type="dcterms:W3CDTF">2020-09-11T08:19:44Z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