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bookmarkStart w:id="0" w:name="_GoBack"/>
      <w:r>
        <w:rPr>
          <w:rStyle w:val="5"/>
          <w:rFonts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2"/>
          <w:szCs w:val="42"/>
          <w:u w:val="none"/>
          <w:bdr w:val="none" w:color="auto" w:sz="0" w:space="0"/>
        </w:rPr>
        <w:t>《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3"/>
          <w:szCs w:val="43"/>
          <w:u w:val="none"/>
          <w:bdr w:val="none" w:color="auto" w:sz="0" w:space="0"/>
        </w:rPr>
        <w:t>关于公布多学科会诊项目价格和医保支付政策的通知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2"/>
          <w:szCs w:val="42"/>
          <w:u w:val="none"/>
          <w:bdr w:val="none" w:color="auto" w:sz="0" w:space="0"/>
        </w:rPr>
        <w:t>》 政策解读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5"/>
          <w:rFonts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为满足人民群众日益增长的医疗服务需求，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方便群众看病就医，结合《山东省医疗保障局关于公布部分医疗服务项目价格的通知》（鲁医保发〔2023〕35号）要求，制定了济宁市的多学科会诊项目价格和医保支付政策。现解读如下：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5"/>
          <w:rFonts w:ascii="CESI黑体-GB13000" w:hAnsi="CESI黑体-GB13000" w:eastAsia="CESI黑体-GB13000" w:cs="CESI黑体-GB13000"/>
          <w:b/>
          <w:bCs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一、</w:t>
      </w:r>
      <w:r>
        <w:rPr>
          <w:rStyle w:val="5"/>
          <w:rFonts w:hint="default" w:ascii="CESI黑体-GB13000" w:hAnsi="CESI黑体-GB13000" w:eastAsia="CESI黑体-GB13000" w:cs="CESI黑体-GB13000"/>
          <w:b/>
          <w:bCs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《通知》起草主要依据是什么？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山东省医疗保障局《关于公布部分医疗服务项目价格的通知》（鲁医保发〔2023〕35号）。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5"/>
          <w:rFonts w:hint="default" w:ascii="CESI黑体-GB13000" w:hAnsi="CESI黑体-GB13000" w:eastAsia="CESI黑体-GB13000" w:cs="CESI黑体-GB13000"/>
          <w:b/>
          <w:bCs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二、本次调整的主要内容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“多学科会诊”由自主定价项目调整为定价项目。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5"/>
          <w:rFonts w:hint="default" w:ascii="CESI黑体-GB13000" w:hAnsi="CESI黑体-GB13000" w:eastAsia="CESI黑体-GB13000" w:cs="CESI黑体-GB13000"/>
          <w:b/>
          <w:bCs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三、医保支付政策是什么？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纳入医保支付范围的医疗服务项目，按相关规定支付。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5"/>
          <w:rFonts w:hint="default" w:ascii="CESI黑体-GB13000" w:hAnsi="CESI黑体-GB13000" w:eastAsia="CESI黑体-GB13000" w:cs="CESI黑体-GB13000"/>
          <w:b/>
          <w:bCs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四、《通知》执行日期是什么？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《通知》自2023年9月15日起施行，有效期至2028年9月14日。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</w:rPr>
        <w:instrText xml:space="preserve"> HYPERLINK "http://www.jining.gov.cn/art/2023/9/14/art_59679_2862711.html" \t "http://www.jining.gov.cn/art/2023/9/14/_blank"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政策丨济医保发〔2023〕12号 关于公布多学科会诊项目价格和医保支付政策的通知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0"/>
        <w:jc w:val="center"/>
        <w:rPr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13000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MTdjMjc5ZjFhMTQ2MTNiZDc1OTc5NDBhODMzZDUifQ=="/>
  </w:docVars>
  <w:rsids>
    <w:rsidRoot w:val="00000000"/>
    <w:rsid w:val="611E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2024-01-08T11:21:52Z</dcterms:created>
  <dc:creator>Administrator</dc:creator>
  <cp:lastModifiedBy>Administrator</cp:lastModifiedBy>
  <cp:lastPrinted>2024-01-08T11:29:52Z</cp:lastPrinted>
  <dcterms:modified xsi:type="dcterms:W3CDTF">2024-01-08T11:30:51Z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F86B0C75416045C7BD51949037C18B2A_12</vt:lpwstr>
  </property>
</Properties>
</file>