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FAAE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梁山县财政局</w:t>
      </w:r>
    </w:p>
    <w:p w14:paraId="0250839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2024年度政府信息公开工作年度报告</w:t>
      </w:r>
    </w:p>
    <w:p w14:paraId="0CB9DEA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bCs/>
          <w:color w:val="000000" w:themeColor="text1"/>
          <w:kern w:val="0"/>
          <w:sz w:val="31"/>
          <w:szCs w:val="31"/>
          <w:lang w:val="en-US" w:eastAsia="zh-CN" w:bidi="ar"/>
          <w14:textFill>
            <w14:solidFill>
              <w14:schemeClr w14:val="tx1"/>
            </w14:solidFill>
          </w14:textFill>
        </w:rPr>
      </w:pPr>
    </w:p>
    <w:p w14:paraId="49F2C8AE">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本报告由梁山县财政局按照《中华人民共和国政府信息公开条例》（以下简称《条例》）和《中华人民共和国政府信息公开工作年度报告格式》（国办公开办函〔2021〕30号）要求编制。</w:t>
      </w:r>
    </w:p>
    <w:p w14:paraId="3ACF485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59D9B2A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本报告所列数据的统计期限自2024年1月1日起至2024年12月31日止。本报告电子版可在梁山县政府门户网站（http://www.liangshan.gov.cn/）查阅或下载。如对本报告有疑问，请与梁山县财政局联系（地址：梁山县中银大厦，联系电话：0537-7322086）。</w:t>
      </w:r>
    </w:p>
    <w:p w14:paraId="57FD06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bCs/>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b/>
          <w:bCs/>
          <w:i w:val="0"/>
          <w:iCs w:val="0"/>
          <w:caps w:val="0"/>
          <w:color w:val="000000" w:themeColor="text1"/>
          <w:spacing w:val="0"/>
          <w:sz w:val="32"/>
          <w:szCs w:val="32"/>
          <w:shd w:val="clear" w:fill="FFFFFF"/>
          <w14:textFill>
            <w14:solidFill>
              <w14:schemeClr w14:val="tx1"/>
            </w14:solidFill>
          </w14:textFill>
        </w:rPr>
        <w:t>一、总体情况</w:t>
      </w:r>
    </w:p>
    <w:p w14:paraId="1F563CA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2024年以来，梁山县财政局在县委、县政府的正确领导下，认真贯彻落实上级关于政务公开工作的有关要求，围绕财政预决算、财政资金信息等重点领域，进一步提高主动公开意识，严格流程规范，扎实推动政务公开工作全面提质增效。</w:t>
      </w:r>
    </w:p>
    <w:p w14:paraId="79F6FEC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t>（一）主动公开情况</w:t>
      </w:r>
    </w:p>
    <w:p w14:paraId="092709A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2024年以来，梁山县财政局进一步加大主动公开力度，重点公开财政预决算、财政收支、减税降费、绩效管理、政府采购等信息，全年共发布信息数233条，主动公开信息中：财政资金类7条，减税降费类31条，政府采购类13条，优化营商环境类150条，建议提案办理8条，重点领域信息公开数24条等。</w:t>
      </w:r>
    </w:p>
    <w:p w14:paraId="0439E962">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5256530" cy="3892550"/>
            <wp:effectExtent l="4445" t="4445" r="15875" b="82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CF7FFA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t>（二）依申请公开情况</w:t>
      </w:r>
    </w:p>
    <w:p w14:paraId="1ADCE513">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梁山县财政局围绕县政府政务公开办关于全面推进政务信息公开的决策部署，认真贯彻实施《政府信息公开条例》，健全工作机制，明确责任、健全制度、拓展形式，依法依规扎实做好依申请公开答复工作。2024年累计受理依申请公开政府信息2件，无行政复议和行政诉讼。</w:t>
      </w:r>
    </w:p>
    <w:p w14:paraId="79081A4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t>（三）政府信息管理情况</w:t>
      </w:r>
    </w:p>
    <w:p w14:paraId="622F931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一是不折不扣落实“三审三校”制度。严格政府信息公开审核和发布流程，强化保密审查和信息发布审核机制，明确了“谁审查、谁负责，谁发布、谁负责，先审查、后发布”和“涉密信息不上网，上网信息不涉密”的原则，做好信息公开保密审查工作。</w:t>
      </w:r>
    </w:p>
    <w:p w14:paraId="066E268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二是强化公开信息“回头看”。定期对涉密涉敏和典型错别字自查自纠，对发布信息进行全面详细自查，发现问题已全部整改。</w:t>
      </w:r>
    </w:p>
    <w:p w14:paraId="4F25F1B6">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t>（四）政府信息公开平台建设情况</w:t>
      </w:r>
    </w:p>
    <w:p w14:paraId="1ACE058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根据上级要求，梁山县财政局局积极谋划开展落实，切实做好局政府信息主动公开目录规范调整工作,统一部署并制定调整方案，明确任务目标，在规定时间内完成我局主动公开目录调整，做到按时保质保量完成任务。在县政府信息公开网公布政府信息，公开监督举报电话，接受群众监督，方便群众查询、诉求，进一步拓宽了与群众互动交流的渠道。</w:t>
      </w:r>
    </w:p>
    <w:p w14:paraId="414CADF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楷体" w:cs="Times New Roman"/>
          <w:b/>
          <w:bCs/>
          <w:color w:val="000000" w:themeColor="text1"/>
          <w:kern w:val="0"/>
          <w:sz w:val="32"/>
          <w:szCs w:val="32"/>
          <w:lang w:val="en-US" w:eastAsia="zh-CN" w:bidi="ar"/>
          <w14:textFill>
            <w14:solidFill>
              <w14:schemeClr w14:val="tx1"/>
            </w14:solidFill>
          </w14:textFill>
        </w:rPr>
        <w:t>（五）监督保障情况</w:t>
      </w:r>
    </w:p>
    <w:p w14:paraId="2DACBFA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一是局领导高度重视政府信息公开工作。把政务公开工作要点，逐项分解到各责任单位，明确责任人、完成时间、工作质量和要求，依法及时公开相关内容。</w:t>
      </w:r>
    </w:p>
    <w:p w14:paraId="0C826E8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二是坚持“公开为原则、不公开为例外”和“谁公开、谁负责”的原则，对公开内容进行发布审查，造成泄密事件严格追究相关责任。</w:t>
      </w:r>
    </w:p>
    <w:p w14:paraId="7BF64770">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三是加强政务信息公开自查及整改，积极修改、加强信息的更新力度，针对反馈的问题清单，认真梳理、及时整改，同时加强沟通协调，力求整改任务高质量完成。</w:t>
      </w:r>
    </w:p>
    <w:p w14:paraId="48A5F4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黑体" w:cs="Times New Roman"/>
          <w:b/>
          <w:bCs/>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黑体" w:cs="Times New Roman"/>
          <w:b/>
          <w:bCs/>
          <w:i w:val="0"/>
          <w:iCs w:val="0"/>
          <w:caps w:val="0"/>
          <w:color w:val="000000" w:themeColor="text1"/>
          <w:spacing w:val="0"/>
          <w:sz w:val="32"/>
          <w:szCs w:val="32"/>
          <w:shd w:val="clear" w:fill="FFFFFF"/>
          <w14:textFill>
            <w14:solidFill>
              <w14:schemeClr w14:val="tx1"/>
            </w14:solidFill>
          </w14:textFill>
        </w:rPr>
        <w:t>二、主动公开政府信息情况</w:t>
      </w:r>
    </w:p>
    <w:p w14:paraId="3173E28F">
      <w:pPr>
        <w:spacing w:line="46" w:lineRule="exact"/>
        <w:rPr>
          <w:rFonts w:hint="default" w:ascii="Times New Roman" w:hAnsi="Times New Roman" w:cs="Times New Roman"/>
          <w:color w:val="000000" w:themeColor="text1"/>
          <w14:textFill>
            <w14:solidFill>
              <w14:schemeClr w14:val="tx1"/>
            </w14:solidFill>
          </w14:textFill>
        </w:rPr>
      </w:pPr>
    </w:p>
    <w:tbl>
      <w:tblPr>
        <w:tblStyle w:val="3"/>
        <w:tblW w:w="9480" w:type="dxa"/>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0"/>
        <w:gridCol w:w="2430"/>
        <w:gridCol w:w="2430"/>
        <w:gridCol w:w="2190"/>
      </w:tblGrid>
      <w:tr w14:paraId="7F404A3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PrEx>
        <w:tc>
          <w:tcPr>
            <w:tcW w:w="9480"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14:paraId="48571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第二十条第（一）项</w:t>
            </w:r>
          </w:p>
        </w:tc>
      </w:tr>
      <w:tr w14:paraId="00C97BB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3F420C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信息内容</w:t>
            </w:r>
          </w:p>
        </w:tc>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3D0EC2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本年制发件数</w:t>
            </w:r>
          </w:p>
        </w:tc>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5D82A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本年废止件数</w:t>
            </w:r>
          </w:p>
        </w:tc>
        <w:tc>
          <w:tcPr>
            <w:tcW w:w="2190" w:type="dxa"/>
            <w:tcBorders>
              <w:top w:val="single" w:color="auto" w:sz="8" w:space="0"/>
              <w:left w:val="single" w:color="auto" w:sz="8" w:space="0"/>
              <w:bottom w:val="single" w:color="auto" w:sz="8" w:space="0"/>
              <w:right w:val="single" w:color="auto" w:sz="8" w:space="0"/>
            </w:tcBorders>
            <w:shd w:val="clear" w:color="auto" w:fill="FFFFFF"/>
            <w:vAlign w:val="center"/>
          </w:tcPr>
          <w:p w14:paraId="43BB94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现行有效件数</w:t>
            </w:r>
          </w:p>
        </w:tc>
      </w:tr>
      <w:tr w14:paraId="43546EA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1819F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规章</w:t>
            </w:r>
          </w:p>
        </w:tc>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7050DD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t>0</w:t>
            </w:r>
          </w:p>
        </w:tc>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0280F3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t>0</w:t>
            </w:r>
          </w:p>
        </w:tc>
        <w:tc>
          <w:tcPr>
            <w:tcW w:w="2190" w:type="dxa"/>
            <w:tcBorders>
              <w:top w:val="single" w:color="auto" w:sz="8" w:space="0"/>
              <w:left w:val="single" w:color="auto" w:sz="8" w:space="0"/>
              <w:bottom w:val="single" w:color="auto" w:sz="8" w:space="0"/>
              <w:right w:val="single" w:color="auto" w:sz="8" w:space="0"/>
            </w:tcBorders>
            <w:shd w:val="clear" w:color="auto" w:fill="FFFFFF"/>
            <w:vAlign w:val="center"/>
          </w:tcPr>
          <w:p w14:paraId="6F58C9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t>0</w:t>
            </w:r>
          </w:p>
        </w:tc>
      </w:tr>
      <w:tr w14:paraId="14004C52">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5CFBF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行政规范性文件</w:t>
            </w:r>
          </w:p>
        </w:tc>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393983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t>0</w:t>
            </w:r>
          </w:p>
        </w:tc>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3AB677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t>0</w:t>
            </w:r>
          </w:p>
        </w:tc>
        <w:tc>
          <w:tcPr>
            <w:tcW w:w="2190" w:type="dxa"/>
            <w:tcBorders>
              <w:top w:val="single" w:color="auto" w:sz="8" w:space="0"/>
              <w:left w:val="single" w:color="auto" w:sz="8" w:space="0"/>
              <w:bottom w:val="single" w:color="auto" w:sz="8" w:space="0"/>
              <w:right w:val="single" w:color="auto" w:sz="8" w:space="0"/>
            </w:tcBorders>
            <w:shd w:val="clear" w:color="auto" w:fill="FFFFFF"/>
            <w:vAlign w:val="center"/>
          </w:tcPr>
          <w:p w14:paraId="7BA91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2"/>
                <w:szCs w:val="28"/>
                <w:lang w:val="en-US" w:eastAsia="zh-CN"/>
                <w14:textFill>
                  <w14:solidFill>
                    <w14:schemeClr w14:val="tx1"/>
                  </w14:solidFill>
                </w14:textFill>
              </w:rPr>
              <w:t>0</w:t>
            </w:r>
          </w:p>
        </w:tc>
      </w:tr>
      <w:tr w14:paraId="55D29AE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9480"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14:paraId="6ACC8E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第二十条第（五）项</w:t>
            </w:r>
          </w:p>
        </w:tc>
      </w:tr>
      <w:tr w14:paraId="31BC5BE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2A349A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信息内容</w:t>
            </w:r>
          </w:p>
        </w:tc>
        <w:tc>
          <w:tcPr>
            <w:tcW w:w="7050"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7C4A3F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本年处理决定数量</w:t>
            </w:r>
          </w:p>
        </w:tc>
      </w:tr>
      <w:tr w14:paraId="1361968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574E5F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行政许可</w:t>
            </w:r>
          </w:p>
        </w:tc>
        <w:tc>
          <w:tcPr>
            <w:tcW w:w="7050"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7A6FB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0</w:t>
            </w:r>
          </w:p>
        </w:tc>
      </w:tr>
      <w:tr w14:paraId="20A1674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9480"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14:paraId="1FF04B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第二十条第（六）项</w:t>
            </w:r>
          </w:p>
        </w:tc>
      </w:tr>
      <w:tr w14:paraId="3598CCC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0F2427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信息内容</w:t>
            </w:r>
          </w:p>
        </w:tc>
        <w:tc>
          <w:tcPr>
            <w:tcW w:w="7050"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0B5B2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本年处理决定数量</w:t>
            </w:r>
          </w:p>
        </w:tc>
      </w:tr>
      <w:tr w14:paraId="32ECF3D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3E429E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行政处罚</w:t>
            </w:r>
          </w:p>
        </w:tc>
        <w:tc>
          <w:tcPr>
            <w:tcW w:w="7050"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7E8C3C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 0</w:t>
            </w:r>
          </w:p>
        </w:tc>
      </w:tr>
      <w:tr w14:paraId="25F8420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631E45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行政强制</w:t>
            </w:r>
          </w:p>
        </w:tc>
        <w:tc>
          <w:tcPr>
            <w:tcW w:w="7050"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3BF4E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 0</w:t>
            </w:r>
          </w:p>
        </w:tc>
      </w:tr>
      <w:tr w14:paraId="7B21818C">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9480" w:type="dxa"/>
            <w:gridSpan w:val="4"/>
            <w:tcBorders>
              <w:top w:val="single" w:color="auto" w:sz="8" w:space="0"/>
              <w:left w:val="single" w:color="auto" w:sz="8" w:space="0"/>
              <w:bottom w:val="single" w:color="auto" w:sz="8" w:space="0"/>
              <w:right w:val="single" w:color="auto" w:sz="8" w:space="0"/>
            </w:tcBorders>
            <w:shd w:val="clear" w:color="auto" w:fill="FFFFFF"/>
            <w:vAlign w:val="center"/>
          </w:tcPr>
          <w:p w14:paraId="61A0B7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第二十条第（八）项</w:t>
            </w:r>
          </w:p>
        </w:tc>
      </w:tr>
      <w:tr w14:paraId="69DD09E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37925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信息内容</w:t>
            </w:r>
          </w:p>
        </w:tc>
        <w:tc>
          <w:tcPr>
            <w:tcW w:w="7050"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44404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本年收费金额（单位：万元）</w:t>
            </w:r>
          </w:p>
        </w:tc>
      </w:tr>
      <w:tr w14:paraId="044C718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FFFFFF"/>
          <w:tblCellMar>
            <w:top w:w="0" w:type="dxa"/>
            <w:left w:w="0" w:type="dxa"/>
            <w:bottom w:w="0" w:type="dxa"/>
            <w:right w:w="0" w:type="dxa"/>
          </w:tblCellMar>
        </w:tblPrEx>
        <w:tc>
          <w:tcPr>
            <w:tcW w:w="2430" w:type="dxa"/>
            <w:tcBorders>
              <w:top w:val="single" w:color="auto" w:sz="8" w:space="0"/>
              <w:left w:val="single" w:color="auto" w:sz="8" w:space="0"/>
              <w:bottom w:val="single" w:color="auto" w:sz="8" w:space="0"/>
              <w:right w:val="single" w:color="auto" w:sz="8" w:space="0"/>
            </w:tcBorders>
            <w:shd w:val="clear" w:color="auto" w:fill="FFFFFF"/>
            <w:vAlign w:val="center"/>
          </w:tcPr>
          <w:p w14:paraId="5C4B9A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行政事业性收费</w:t>
            </w:r>
          </w:p>
        </w:tc>
        <w:tc>
          <w:tcPr>
            <w:tcW w:w="7050"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14:paraId="3C0CEA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0</w:t>
            </w:r>
          </w:p>
        </w:tc>
      </w:tr>
    </w:tbl>
    <w:p w14:paraId="02EBD5D3">
      <w:pPr>
        <w:numPr>
          <w:ilvl w:val="0"/>
          <w:numId w:val="0"/>
        </w:numPr>
        <w:tabs>
          <w:tab w:val="right" w:pos="8184"/>
        </w:tabs>
        <w:spacing w:before="216" w:line="360" w:lineRule="exact"/>
        <w:ind w:firstLine="643" w:firstLineChars="200"/>
        <w:rPr>
          <w:rFonts w:hint="default" w:ascii="Times New Roman" w:hAnsi="Times New Roman" w:eastAsia="黑体"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三、收到和处理政府信息公开申请情况</w:t>
      </w:r>
    </w:p>
    <w:tbl>
      <w:tblPr>
        <w:tblStyle w:val="3"/>
        <w:tblW w:w="9750"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4"/>
        <w:gridCol w:w="944"/>
        <w:gridCol w:w="3219"/>
        <w:gridCol w:w="689"/>
        <w:gridCol w:w="689"/>
        <w:gridCol w:w="689"/>
        <w:gridCol w:w="689"/>
        <w:gridCol w:w="689"/>
        <w:gridCol w:w="689"/>
        <w:gridCol w:w="689"/>
      </w:tblGrid>
      <w:tr w14:paraId="7C74599B">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4927" w:type="dxa"/>
            <w:gridSpan w:val="3"/>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207C16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（本列数据的勾稽关系为：第一项加第二项之和，等于第三项加第四项之和）</w:t>
            </w:r>
          </w:p>
        </w:tc>
        <w:tc>
          <w:tcPr>
            <w:tcW w:w="4823" w:type="dxa"/>
            <w:gridSpan w:val="7"/>
            <w:tcBorders>
              <w:top w:val="single" w:color="333333" w:sz="6" w:space="0"/>
              <w:left w:val="single" w:color="333333" w:sz="6" w:space="0"/>
              <w:bottom w:val="single" w:color="333333" w:sz="6" w:space="0"/>
              <w:right w:val="single" w:color="333333" w:sz="6" w:space="0"/>
            </w:tcBorders>
            <w:shd w:val="clear" w:color="auto" w:fill="FFFFFF"/>
            <w:vAlign w:val="center"/>
          </w:tcPr>
          <w:p w14:paraId="30522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申请人情况</w:t>
            </w:r>
          </w:p>
        </w:tc>
      </w:tr>
      <w:tr w14:paraId="7F56705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927"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4C426DE5">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689"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1E7D3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自然人</w:t>
            </w:r>
          </w:p>
        </w:tc>
        <w:tc>
          <w:tcPr>
            <w:tcW w:w="3445" w:type="dxa"/>
            <w:gridSpan w:val="5"/>
            <w:tcBorders>
              <w:top w:val="single" w:color="333333" w:sz="6" w:space="0"/>
              <w:left w:val="single" w:color="333333" w:sz="6" w:space="0"/>
              <w:bottom w:val="single" w:color="333333" w:sz="6" w:space="0"/>
              <w:right w:val="single" w:color="333333" w:sz="6" w:space="0"/>
            </w:tcBorders>
            <w:shd w:val="clear" w:color="auto" w:fill="FFFFFF"/>
            <w:vAlign w:val="center"/>
          </w:tcPr>
          <w:p w14:paraId="0AA31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法人或其他组织</w:t>
            </w:r>
          </w:p>
        </w:tc>
        <w:tc>
          <w:tcPr>
            <w:tcW w:w="689"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70DE62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总计</w:t>
            </w:r>
          </w:p>
        </w:tc>
      </w:tr>
      <w:tr w14:paraId="774F085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927"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48D0757F">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689"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290E6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62B52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商业企业</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1F88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科研机构</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AACEF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社会公益组织</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3D0F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法律服务机构</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19EA7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其他</w:t>
            </w:r>
          </w:p>
        </w:tc>
        <w:tc>
          <w:tcPr>
            <w:tcW w:w="689"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3E2E3D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p>
        </w:tc>
      </w:tr>
      <w:tr w14:paraId="2B233E7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4927" w:type="dxa"/>
            <w:gridSpan w:val="3"/>
            <w:tcBorders>
              <w:top w:val="single" w:color="333333" w:sz="6" w:space="0"/>
              <w:left w:val="single" w:color="333333" w:sz="6" w:space="0"/>
              <w:bottom w:val="single" w:color="333333" w:sz="6" w:space="0"/>
              <w:right w:val="single" w:color="333333" w:sz="6" w:space="0"/>
            </w:tcBorders>
            <w:shd w:val="clear" w:color="auto" w:fill="FFFFFF"/>
            <w:vAlign w:val="center"/>
          </w:tcPr>
          <w:p w14:paraId="1DF17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一、本年新收政府信息公开申请数量</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D43E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2</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EE0C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9B0D4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070F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A7B72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9DF4D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0ACF0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2</w:t>
            </w:r>
          </w:p>
        </w:tc>
      </w:tr>
      <w:tr w14:paraId="56BBEDD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927" w:type="dxa"/>
            <w:gridSpan w:val="3"/>
            <w:tcBorders>
              <w:top w:val="single" w:color="333333" w:sz="6" w:space="0"/>
              <w:left w:val="single" w:color="333333" w:sz="6" w:space="0"/>
              <w:bottom w:val="single" w:color="333333" w:sz="6" w:space="0"/>
              <w:right w:val="single" w:color="333333" w:sz="6" w:space="0"/>
            </w:tcBorders>
            <w:shd w:val="clear" w:color="auto" w:fill="FFFFFF"/>
            <w:vAlign w:val="center"/>
          </w:tcPr>
          <w:p w14:paraId="650F5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二、上年结转政府信息公开申请数量</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B862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ADB72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FC7F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E3BD0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37AB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D498A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A9DE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40A0F4E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50C6FA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三、本年度办理结果</w:t>
            </w:r>
          </w:p>
        </w:tc>
        <w:tc>
          <w:tcPr>
            <w:tcW w:w="4163" w:type="dxa"/>
            <w:gridSpan w:val="2"/>
            <w:tcBorders>
              <w:top w:val="single" w:color="333333" w:sz="6" w:space="0"/>
              <w:left w:val="single" w:color="333333" w:sz="6" w:space="0"/>
              <w:bottom w:val="single" w:color="333333" w:sz="6" w:space="0"/>
              <w:right w:val="single" w:color="333333" w:sz="6" w:space="0"/>
            </w:tcBorders>
            <w:shd w:val="clear" w:color="auto" w:fill="FFFFFF"/>
            <w:vAlign w:val="center"/>
          </w:tcPr>
          <w:p w14:paraId="766E4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（一）予以公开</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760E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F050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8FCB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0FB1C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362C0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F989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DC57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12FEA202">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2F1DFD80">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4163" w:type="dxa"/>
            <w:gridSpan w:val="2"/>
            <w:tcBorders>
              <w:top w:val="single" w:color="333333" w:sz="6" w:space="0"/>
              <w:left w:val="single" w:color="333333" w:sz="6" w:space="0"/>
              <w:bottom w:val="single" w:color="333333" w:sz="6" w:space="0"/>
              <w:right w:val="single" w:color="333333" w:sz="6" w:space="0"/>
            </w:tcBorders>
            <w:shd w:val="clear" w:color="auto" w:fill="FFFFFF"/>
            <w:vAlign w:val="center"/>
          </w:tcPr>
          <w:p w14:paraId="31BB53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（二）部分公开（区分处理的，只计这一情形，不计其他情形）</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755E7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077B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EB5A9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04E9D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CEC1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5969F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11712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416245B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5AA6FF86">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1AD44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（三）不予公开</w:t>
            </w: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175E1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1.</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属于国家秘密</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7F93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1</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AB130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A6C4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1EFF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04225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B19C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77F5F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1</w:t>
            </w:r>
          </w:p>
        </w:tc>
      </w:tr>
      <w:tr w14:paraId="069CDE33">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4438E61E">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041B5C0C">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3CCBB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2.</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其他法律行政法规禁止公开</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1BCF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CB38A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0DD0A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331F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B8AF5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B518D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3BCF7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0857CCA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545CF2A0">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037DD64D">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73614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3.</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危及</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三安全一稳定</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7C853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AA6F4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32FF4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10E8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A5E15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0A41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5BDD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464781F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68E9445C">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082CD63E">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58B839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4.</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保护第三方合法权益</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86505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37201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CD60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6E0BE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5A499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52B6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C40C0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7C2F63E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700005E4">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2859A79D">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5FC89B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5.</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属于三类内部事务信息</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F6FA0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C4062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AF19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27C41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D0718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A6C74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A69F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7422B5A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5BE85176">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14702C01">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444A6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6.</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属于四类过程性信息</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46281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861B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0F506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848C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C75ED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00A94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D8D1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548E3AB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647855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8"/>
                <w:szCs w:val="28"/>
                <w:lang w:val="en-US" w:eastAsia="zh-CN" w:bidi="ar"/>
                <w14:textFill>
                  <w14:solidFill>
                    <w14:schemeClr w14:val="tx1"/>
                  </w14:solidFill>
                </w14:textFill>
              </w:rPr>
              <w:t> </w:t>
            </w:r>
          </w:p>
        </w:tc>
        <w:tc>
          <w:tcPr>
            <w:tcW w:w="944"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6AB4DE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8"/>
                <w:szCs w:val="28"/>
                <w:lang w:val="en-US" w:eastAsia="zh-CN" w:bidi="ar"/>
                <w14:textFill>
                  <w14:solidFill>
                    <w14:schemeClr w14:val="tx1"/>
                  </w14:solidFill>
                </w14:textFill>
              </w:rPr>
              <w:t> </w:t>
            </w: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3FA09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7.</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属于行政执法案卷</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68A4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EC6B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85737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00C2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19A2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0C017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032C8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66B2F609">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084028B5">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58F70CEA">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34257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8.</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属于行政查询事项</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0388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12C4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CECAE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F742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F181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D128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0601E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43CA9F4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0CD6ACB7">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6AC006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（四）无法提供</w:t>
            </w: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374C23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1.</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本机关不掌握相关政府信息</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D140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1</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BC99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38B5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EBCA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A924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D68E2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ECAF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1</w:t>
            </w:r>
          </w:p>
        </w:tc>
      </w:tr>
      <w:tr w14:paraId="35660FB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7B383F0E">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16D6F245">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27FC8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2.</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没有现成信息需要另行制作</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7F31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6A7C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04E20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31F1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D6A0A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0749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F8DC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67E953E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15867290">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17C58039">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1C447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3.</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补正后申请内容仍不明确</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1FCDC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BDA3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3175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086B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D9E9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101DF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169B1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336C4E8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022B5936">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08F37B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（五）不予处理</w:t>
            </w: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6F17B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1.</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信访举报投诉类申请</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DCCF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B61D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4906D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B6D0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83D95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805DA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DBB2D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44C9A2EC">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4F31F173">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09F60201">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6AB49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2.</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重复申请</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D6BD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EF5DD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548B7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835BE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F48C1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BCA7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5BA77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2B4B451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2CEAB453">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06776DBB">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4C025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3.</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要求提供公开出版物</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3253C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5FBD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9EFB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543D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B3EB1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1C0F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8FC9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22E906F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58A94595">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42D58DE6">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top"/>
          </w:tcPr>
          <w:p w14:paraId="2D52A7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4.</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无正当理由大量反复申请</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638AC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97F5E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7F405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59637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D1D9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A5E78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A4200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6ED2F20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65DC7C04">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418B0482">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CEE8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5.</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要求行政机关确认或重新出具已获取信息</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0058A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08DA9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B80C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5FBCF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2252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05584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0659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306591A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10680274">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restart"/>
            <w:tcBorders>
              <w:top w:val="single" w:color="333333" w:sz="6" w:space="0"/>
              <w:left w:val="single" w:color="333333" w:sz="6" w:space="0"/>
              <w:bottom w:val="single" w:color="333333" w:sz="6" w:space="0"/>
              <w:right w:val="single" w:color="333333" w:sz="6" w:space="0"/>
            </w:tcBorders>
            <w:shd w:val="clear" w:color="auto" w:fill="FFFFFF"/>
            <w:vAlign w:val="center"/>
          </w:tcPr>
          <w:p w14:paraId="0874B9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（六）其他处理</w:t>
            </w: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95A7C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1.</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申请人无正当理由逾期不补正、行政机关不再处理其政府信息公开申请</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64C01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4ABF0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260CB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BC5A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D9ACD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6E10D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263E6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1112697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5F03E9AB">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2F768C6B">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D01FC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2.</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申请人逾期未按收费通知要求缴纳费用、行政机关不再处理其政府信息公开申请</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0370C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D70C0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5E166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FC16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2CF76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91AA6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9712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05A76A9F">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26A823CD">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94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33F3AED7">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321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F808B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3.</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其他</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EB5B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EA887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96CFD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C205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2E03E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B0550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53C19F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r w14:paraId="637B3305">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764" w:type="dxa"/>
            <w:vMerge w:val="continue"/>
            <w:tcBorders>
              <w:top w:val="single" w:color="333333" w:sz="6" w:space="0"/>
              <w:left w:val="single" w:color="333333" w:sz="6" w:space="0"/>
              <w:bottom w:val="single" w:color="333333" w:sz="6" w:space="0"/>
              <w:right w:val="single" w:color="333333" w:sz="6" w:space="0"/>
            </w:tcBorders>
            <w:shd w:val="clear" w:color="auto" w:fill="FFFFFF"/>
            <w:vAlign w:val="center"/>
          </w:tcPr>
          <w:p w14:paraId="39E13D2C">
            <w:pPr>
              <w:rPr>
                <w:rFonts w:hint="default" w:ascii="Times New Roman" w:hAnsi="Times New Roman" w:eastAsia="方正仿宋简体" w:cs="Times New Roman"/>
                <w:b/>
                <w:bCs/>
                <w:i w:val="0"/>
                <w:iCs w:val="0"/>
                <w:caps w:val="0"/>
                <w:color w:val="000000" w:themeColor="text1"/>
                <w:spacing w:val="0"/>
                <w:sz w:val="28"/>
                <w:szCs w:val="28"/>
                <w14:textFill>
                  <w14:solidFill>
                    <w14:schemeClr w14:val="tx1"/>
                  </w14:solidFill>
                </w14:textFill>
              </w:rPr>
            </w:pPr>
          </w:p>
        </w:tc>
        <w:tc>
          <w:tcPr>
            <w:tcW w:w="4163" w:type="dxa"/>
            <w:gridSpan w:val="2"/>
            <w:tcBorders>
              <w:top w:val="single" w:color="333333" w:sz="6" w:space="0"/>
              <w:left w:val="single" w:color="333333" w:sz="6" w:space="0"/>
              <w:bottom w:val="single" w:color="333333" w:sz="6" w:space="0"/>
              <w:right w:val="single" w:color="333333" w:sz="6" w:space="0"/>
            </w:tcBorders>
            <w:shd w:val="clear" w:color="auto" w:fill="FFFFFF"/>
            <w:vAlign w:val="center"/>
          </w:tcPr>
          <w:p w14:paraId="2ABCD8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（七）总计</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BC10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2</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E6598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89D4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1065D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646A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4225B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6A4A33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2</w:t>
            </w:r>
          </w:p>
        </w:tc>
      </w:tr>
      <w:tr w14:paraId="072CD03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4927" w:type="dxa"/>
            <w:gridSpan w:val="3"/>
            <w:tcBorders>
              <w:top w:val="single" w:color="333333" w:sz="6" w:space="0"/>
              <w:left w:val="single" w:color="333333" w:sz="6" w:space="0"/>
              <w:bottom w:val="single" w:color="333333" w:sz="6" w:space="0"/>
              <w:right w:val="single" w:color="333333" w:sz="6" w:space="0"/>
            </w:tcBorders>
            <w:shd w:val="clear" w:color="auto" w:fill="FFFFFF"/>
            <w:vAlign w:val="center"/>
          </w:tcPr>
          <w:p w14:paraId="166EDB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left"/>
              <w:rPr>
                <w:rFonts w:hint="default" w:ascii="Times New Roman" w:hAnsi="Times New Roman" w:eastAsia="方正仿宋简体" w:cs="Times New Roman"/>
                <w:b/>
                <w:bCs/>
                <w:color w:val="000000" w:themeColor="text1"/>
                <w:sz w:val="22"/>
                <w:szCs w:val="28"/>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四、结转下年度继续办理</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B358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D8D95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01AD6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02249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77737E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17D0E7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89" w:type="dxa"/>
            <w:tcBorders>
              <w:top w:val="single" w:color="333333" w:sz="6" w:space="0"/>
              <w:left w:val="single" w:color="333333" w:sz="6" w:space="0"/>
              <w:bottom w:val="single" w:color="333333" w:sz="6" w:space="0"/>
              <w:right w:val="single" w:color="333333" w:sz="6" w:space="0"/>
            </w:tcBorders>
            <w:shd w:val="clear" w:color="auto" w:fill="FFFFFF"/>
            <w:vAlign w:val="center"/>
          </w:tcPr>
          <w:p w14:paraId="355DB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eastAsiaTheme="minorEastAsia"/>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bl>
    <w:tbl>
      <w:tblPr>
        <w:tblStyle w:val="3"/>
        <w:tblpPr w:leftFromText="180" w:rightFromText="180" w:vertAnchor="text" w:horzAnchor="page" w:tblpX="1798" w:tblpY="853"/>
        <w:tblOverlap w:val="never"/>
        <w:tblW w:w="9750"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4"/>
        <w:gridCol w:w="644"/>
        <w:gridCol w:w="644"/>
        <w:gridCol w:w="644"/>
        <w:gridCol w:w="674"/>
        <w:gridCol w:w="644"/>
        <w:gridCol w:w="644"/>
        <w:gridCol w:w="644"/>
        <w:gridCol w:w="644"/>
        <w:gridCol w:w="674"/>
        <w:gridCol w:w="644"/>
        <w:gridCol w:w="644"/>
        <w:gridCol w:w="644"/>
        <w:gridCol w:w="644"/>
        <w:gridCol w:w="674"/>
      </w:tblGrid>
      <w:tr w14:paraId="4B6AA91A">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25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2EAD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行政复议</w:t>
            </w:r>
          </w:p>
        </w:tc>
        <w:tc>
          <w:tcPr>
            <w:tcW w:w="6500" w:type="dxa"/>
            <w:gridSpan w:val="10"/>
            <w:tcBorders>
              <w:top w:val="single" w:color="333333" w:sz="6" w:space="0"/>
              <w:left w:val="single" w:color="333333" w:sz="6" w:space="0"/>
              <w:bottom w:val="single" w:color="333333" w:sz="6" w:space="0"/>
              <w:right w:val="single" w:color="333333" w:sz="6" w:space="0"/>
            </w:tcBorders>
            <w:shd w:val="clear" w:color="auto" w:fill="auto"/>
            <w:vAlign w:val="center"/>
          </w:tcPr>
          <w:p w14:paraId="2A384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行政诉讼</w:t>
            </w:r>
          </w:p>
        </w:tc>
      </w:tr>
      <w:tr w14:paraId="2DEC90BD">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4"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14:paraId="218DA4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结果维持</w:t>
            </w:r>
          </w:p>
        </w:tc>
        <w:tc>
          <w:tcPr>
            <w:tcW w:w="644"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14:paraId="7573A8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结果</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纠正</w:t>
            </w:r>
          </w:p>
        </w:tc>
        <w:tc>
          <w:tcPr>
            <w:tcW w:w="644"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14:paraId="7418CD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其他</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结果</w:t>
            </w:r>
          </w:p>
        </w:tc>
        <w:tc>
          <w:tcPr>
            <w:tcW w:w="644"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14:paraId="3FA133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尚未</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审结</w:t>
            </w:r>
          </w:p>
        </w:tc>
        <w:tc>
          <w:tcPr>
            <w:tcW w:w="674"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14:paraId="296683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总计</w:t>
            </w:r>
          </w:p>
        </w:tc>
        <w:tc>
          <w:tcPr>
            <w:tcW w:w="3250" w:type="dxa"/>
            <w:gridSpan w:val="5"/>
            <w:tcBorders>
              <w:top w:val="single" w:color="333333" w:sz="6" w:space="0"/>
              <w:left w:val="single" w:color="333333" w:sz="6" w:space="0"/>
              <w:bottom w:val="single" w:color="333333" w:sz="6" w:space="0"/>
              <w:right w:val="single" w:color="333333" w:sz="6" w:space="0"/>
            </w:tcBorders>
            <w:shd w:val="clear" w:color="auto" w:fill="auto"/>
            <w:vAlign w:val="center"/>
          </w:tcPr>
          <w:p w14:paraId="7EA0F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未经复议直接起诉</w:t>
            </w:r>
          </w:p>
        </w:tc>
        <w:tc>
          <w:tcPr>
            <w:tcW w:w="3250" w:type="dxa"/>
            <w:gridSpan w:val="5"/>
            <w:tcBorders>
              <w:top w:val="single" w:color="333333" w:sz="6" w:space="0"/>
              <w:left w:val="single" w:color="333333" w:sz="6" w:space="0"/>
              <w:bottom w:val="single" w:color="333333" w:sz="6" w:space="0"/>
              <w:right w:val="single" w:color="333333" w:sz="6" w:space="0"/>
            </w:tcBorders>
            <w:shd w:val="clear" w:color="auto" w:fill="auto"/>
            <w:vAlign w:val="center"/>
          </w:tcPr>
          <w:p w14:paraId="65B608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复议后起诉</w:t>
            </w:r>
          </w:p>
        </w:tc>
      </w:tr>
      <w:tr w14:paraId="3B3F5A7E">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c>
          <w:tcPr>
            <w:tcW w:w="644"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7EC071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p>
        </w:tc>
        <w:tc>
          <w:tcPr>
            <w:tcW w:w="644"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00577E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p>
        </w:tc>
        <w:tc>
          <w:tcPr>
            <w:tcW w:w="644"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6FB7D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p>
        </w:tc>
        <w:tc>
          <w:tcPr>
            <w:tcW w:w="644"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6DDF7D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p>
        </w:tc>
        <w:tc>
          <w:tcPr>
            <w:tcW w:w="674"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14:paraId="29ED86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77F066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结果</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维持</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1FFAD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结果</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纠正</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6C397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其他</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结果</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61D21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尚未</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审结</w:t>
            </w:r>
          </w:p>
        </w:tc>
        <w:tc>
          <w:tcPr>
            <w:tcW w:w="67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4616E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总计</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482D24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结果</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维持</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6FA87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结果</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纠正</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1A956F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其他</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结果</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55C118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尚未</w:t>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br w:type="textWrapping"/>
            </w: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审结</w:t>
            </w:r>
          </w:p>
        </w:tc>
        <w:tc>
          <w:tcPr>
            <w:tcW w:w="67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65446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pPr>
            <w:r>
              <w:rPr>
                <w:rFonts w:hint="default" w:ascii="Times New Roman" w:hAnsi="Times New Roman" w:eastAsia="方正仿宋简体" w:cs="Times New Roman"/>
                <w:b/>
                <w:bCs/>
                <w:i w:val="0"/>
                <w:iCs w:val="0"/>
                <w:caps w:val="0"/>
                <w:color w:val="000000" w:themeColor="text1"/>
                <w:spacing w:val="0"/>
                <w:kern w:val="0"/>
                <w:sz w:val="21"/>
                <w:szCs w:val="21"/>
                <w:lang w:val="en-US" w:eastAsia="zh-CN" w:bidi="ar"/>
                <w14:textFill>
                  <w14:solidFill>
                    <w14:schemeClr w14:val="tx1"/>
                  </w14:solidFill>
                </w14:textFill>
              </w:rPr>
              <w:t>总计</w:t>
            </w:r>
          </w:p>
        </w:tc>
      </w:tr>
      <w:tr w14:paraId="494163D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5F121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68041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6F1D61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27E399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7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53BD8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735DF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5AB10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39E132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35ABC9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7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47BF02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7017D6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25280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2377B2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4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1D2D82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c>
          <w:tcPr>
            <w:tcW w:w="674" w:type="dxa"/>
            <w:tcBorders>
              <w:top w:val="single" w:color="333333" w:sz="6" w:space="0"/>
              <w:left w:val="single" w:color="333333" w:sz="6" w:space="0"/>
              <w:bottom w:val="single" w:color="333333" w:sz="6" w:space="0"/>
              <w:right w:val="single" w:color="333333" w:sz="6" w:space="0"/>
            </w:tcBorders>
            <w:shd w:val="clear" w:color="auto" w:fill="auto"/>
            <w:vAlign w:val="center"/>
          </w:tcPr>
          <w:p w14:paraId="2D17AD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rPr>
                <w:rFonts w:hint="default" w:ascii="Times New Roman" w:hAnsi="Times New Roman" w:cs="Times New Roman"/>
                <w:b/>
                <w:bCs/>
                <w:color w:val="000000" w:themeColor="text1"/>
                <w:sz w:val="22"/>
                <w:szCs w:val="28"/>
                <w:lang w:val="en-US" w:eastAsia="zh-CN"/>
                <w14:textFill>
                  <w14:solidFill>
                    <w14:schemeClr w14:val="tx1"/>
                  </w14:solidFill>
                </w14:textFill>
              </w:rPr>
            </w:pPr>
            <w:r>
              <w:rPr>
                <w:rFonts w:hint="default" w:ascii="Times New Roman" w:hAnsi="Times New Roman" w:cs="Times New Roman"/>
                <w:b/>
                <w:bCs/>
                <w:color w:val="000000" w:themeColor="text1"/>
                <w:sz w:val="22"/>
                <w:szCs w:val="28"/>
                <w:lang w:val="en-US" w:eastAsia="zh-CN"/>
                <w14:textFill>
                  <w14:solidFill>
                    <w14:schemeClr w14:val="tx1"/>
                  </w14:solidFill>
                </w14:textFill>
              </w:rPr>
              <w:t>0</w:t>
            </w:r>
          </w:p>
        </w:tc>
      </w:tr>
    </w:tbl>
    <w:p w14:paraId="38D5701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rightChars="0" w:firstLine="643" w:firstLineChars="200"/>
        <w:jc w:val="both"/>
        <w:rPr>
          <w:rFonts w:hint="default" w:ascii="Times New Roman" w:hAnsi="Times New Roman" w:eastAsia="黑体"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四、政府信息公开行政复议、行政诉讼情况</w:t>
      </w:r>
    </w:p>
    <w:p w14:paraId="7CA2ADEE">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黑体"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五、存在的主要问题及改进情况</w:t>
      </w:r>
    </w:p>
    <w:p w14:paraId="12271B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2024年，梁山县财政局政务公开工作虽然取得一定成效，但也存在着一些不足和需要改进之处。</w:t>
      </w:r>
    </w:p>
    <w:p w14:paraId="067027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一是部分科室对做好政府信息公开意识和能力相对薄弱，二是公开形式较为单一。</w:t>
      </w:r>
    </w:p>
    <w:p w14:paraId="0CDF0D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下一步，梁山县财政局将进一步落实政府信息公开各项要求，明确各科室信息公开主体责任，严格“三审三校”制度，扎实推进我局政府信息公开工作。</w:t>
      </w:r>
    </w:p>
    <w:p w14:paraId="332225CB">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黑体"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b/>
          <w:bCs/>
          <w:i w:val="0"/>
          <w:iCs w:val="0"/>
          <w:caps w:val="0"/>
          <w:color w:val="000000" w:themeColor="text1"/>
          <w:spacing w:val="0"/>
          <w:kern w:val="0"/>
          <w:sz w:val="32"/>
          <w:szCs w:val="32"/>
          <w:shd w:val="clear" w:fill="FFFFFF"/>
          <w:lang w:val="en-US" w:eastAsia="zh-CN" w:bidi="ar"/>
          <w14:textFill>
            <w14:solidFill>
              <w14:schemeClr w14:val="tx1"/>
            </w14:solidFill>
          </w14:textFill>
        </w:rPr>
        <w:t>六、其他需要报告的事项</w:t>
      </w:r>
    </w:p>
    <w:p w14:paraId="353B46F5">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default" w:ascii="Times New Roman" w:hAnsi="Times New Roman" w:eastAsia="方正仿宋简体" w:cs="Times New Roman"/>
          <w:b/>
          <w:bCs/>
          <w:color w:val="000000" w:themeColor="text1"/>
          <w:kern w:val="0"/>
          <w:sz w:val="31"/>
          <w:szCs w:val="31"/>
          <w:lang w:val="en-US" w:eastAsia="zh-CN" w:bidi="ar"/>
          <w14:textFill>
            <w14:solidFill>
              <w14:schemeClr w14:val="tx1"/>
            </w14:solidFill>
          </w14:textFill>
        </w:rPr>
        <w:t>（一）依据《政府信息公开信息处理费管理办法》收取信息处理费的情况：无</w:t>
      </w:r>
    </w:p>
    <w:p w14:paraId="27A55D00">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left"/>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default" w:ascii="Times New Roman" w:hAnsi="Times New Roman" w:eastAsia="方正仿宋简体" w:cs="Times New Roman"/>
          <w:b/>
          <w:bCs/>
          <w:color w:val="000000" w:themeColor="text1"/>
          <w:kern w:val="0"/>
          <w:sz w:val="31"/>
          <w:szCs w:val="31"/>
          <w:lang w:val="en-US" w:eastAsia="zh-CN" w:bidi="ar"/>
          <w14:textFill>
            <w14:solidFill>
              <w14:schemeClr w14:val="tx1"/>
            </w14:solidFill>
          </w14:textFill>
        </w:rPr>
        <w:t>（二）本行政机关落实上级年度政务公开工作要点情况：梁山县财政局结合上级要求，</w:t>
      </w:r>
      <w:r>
        <w:rPr>
          <w:rFonts w:hint="eastAsia" w:ascii="Times New Roman" w:hAnsi="Times New Roman" w:eastAsia="方正仿宋简体" w:cs="Times New Roman"/>
          <w:b/>
          <w:bCs/>
          <w:color w:val="000000" w:themeColor="text1"/>
          <w:kern w:val="0"/>
          <w:sz w:val="31"/>
          <w:szCs w:val="31"/>
          <w:lang w:val="en-US" w:eastAsia="zh-CN" w:bidi="ar"/>
          <w14:textFill>
            <w14:solidFill>
              <w14:schemeClr w14:val="tx1"/>
            </w14:solidFill>
          </w14:textFill>
        </w:rPr>
        <w:t>不折不扣</w:t>
      </w:r>
      <w:r>
        <w:rPr>
          <w:rFonts w:hint="default" w:ascii="Times New Roman" w:hAnsi="Times New Roman" w:eastAsia="方正仿宋简体" w:cs="Times New Roman"/>
          <w:b/>
          <w:bCs/>
          <w:color w:val="000000" w:themeColor="text1"/>
          <w:kern w:val="0"/>
          <w:sz w:val="31"/>
          <w:szCs w:val="31"/>
          <w:lang w:val="en-US" w:eastAsia="zh-CN" w:bidi="ar"/>
          <w14:textFill>
            <w14:solidFill>
              <w14:schemeClr w14:val="tx1"/>
            </w14:solidFill>
          </w14:textFill>
        </w:rPr>
        <w:t>履行自身职责，</w:t>
      </w:r>
      <w:r>
        <w:rPr>
          <w:rFonts w:hint="eastAsia" w:ascii="Times New Roman" w:hAnsi="Times New Roman" w:eastAsia="方正仿宋简体" w:cs="Times New Roman"/>
          <w:b/>
          <w:bCs/>
          <w:color w:val="000000" w:themeColor="text1"/>
          <w:kern w:val="0"/>
          <w:sz w:val="31"/>
          <w:szCs w:val="31"/>
          <w:lang w:val="en-US" w:eastAsia="zh-CN" w:bidi="ar"/>
          <w14:textFill>
            <w14:solidFill>
              <w14:schemeClr w14:val="tx1"/>
            </w14:solidFill>
          </w14:textFill>
        </w:rPr>
        <w:t>扎实</w:t>
      </w:r>
      <w:r>
        <w:rPr>
          <w:rFonts w:hint="default" w:ascii="Times New Roman" w:hAnsi="Times New Roman" w:eastAsia="方正仿宋简体" w:cs="Times New Roman"/>
          <w:b/>
          <w:bCs/>
          <w:color w:val="000000" w:themeColor="text1"/>
          <w:kern w:val="0"/>
          <w:sz w:val="31"/>
          <w:szCs w:val="31"/>
          <w:lang w:val="en-US" w:eastAsia="zh-CN" w:bidi="ar"/>
          <w14:textFill>
            <w14:solidFill>
              <w14:schemeClr w14:val="tx1"/>
            </w14:solidFill>
          </w14:textFill>
        </w:rPr>
        <w:t>推动政务公开工作水平取得新成效。</w:t>
      </w:r>
    </w:p>
    <w:p w14:paraId="4E8C7091">
      <w:pPr>
        <w:keepNext w:val="0"/>
        <w:keepLines w:val="0"/>
        <w:pageBreakBefore w:val="0"/>
        <w:widowControl w:val="0"/>
        <w:kinsoku/>
        <w:wordWrap/>
        <w:overflowPunct/>
        <w:topLinePunct w:val="0"/>
        <w:autoSpaceDE/>
        <w:autoSpaceDN/>
        <w:bidi w:val="0"/>
        <w:adjustRightInd/>
        <w:snapToGrid/>
        <w:spacing w:line="560" w:lineRule="exact"/>
        <w:ind w:right="0" w:rightChars="0" w:firstLine="622" w:firstLineChars="200"/>
        <w:textAlignment w:val="auto"/>
        <w:rPr>
          <w:rFonts w:hint="default" w:ascii="Times New Roman" w:hAnsi="Times New Roman" w:eastAsia="方正仿宋简体" w:cs="Times New Roman"/>
          <w:color w:val="000000" w:themeColor="text1"/>
          <w:lang w:val="en-US"/>
          <w14:textFill>
            <w14:solidFill>
              <w14:schemeClr w14:val="tx1"/>
            </w14:solidFill>
          </w14:textFill>
        </w:rPr>
      </w:pPr>
      <w:r>
        <w:rPr>
          <w:rFonts w:hint="default" w:ascii="Times New Roman" w:hAnsi="Times New Roman" w:eastAsia="方正仿宋简体" w:cs="Times New Roman"/>
          <w:b/>
          <w:bCs/>
          <w:color w:val="000000" w:themeColor="text1"/>
          <w:kern w:val="0"/>
          <w:sz w:val="31"/>
          <w:szCs w:val="31"/>
          <w:lang w:val="en-US" w:eastAsia="zh-CN" w:bidi="ar"/>
          <w14:textFill>
            <w14:solidFill>
              <w14:schemeClr w14:val="tx1"/>
            </w14:solidFill>
          </w14:textFill>
        </w:rPr>
        <w:t>（三）本行政机关人大代表建议和政协提案办理结果公开情况：</w:t>
      </w:r>
      <w:r>
        <w:rPr>
          <w:rFonts w:hint="default" w:ascii="Times New Roman" w:hAnsi="Times New Roman" w:eastAsia="方正仿宋简体" w:cs="Times New Roman"/>
          <w:b/>
          <w:bCs/>
          <w:color w:val="000000" w:themeColor="text1"/>
          <w:kern w:val="0"/>
          <w:sz w:val="32"/>
          <w:szCs w:val="32"/>
          <w:lang w:val="en-US" w:eastAsia="zh-CN" w:bidi="ar"/>
          <w14:textFill>
            <w14:solidFill>
              <w14:schemeClr w14:val="tx1"/>
            </w14:solidFill>
          </w14:textFill>
        </w:rPr>
        <w:t>2024年，共收到人大代表建议6件，政协提案2件，</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办结率、满意率100%。</w:t>
      </w:r>
    </w:p>
    <w:p w14:paraId="2E268F48">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（四）</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本行政机关年度政务公开工作创新情况：</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围绕财政预决算、财政资金等重点领域，推动政务公开流程标准化、规范化，确保公开事项及时性、有效性。</w:t>
      </w:r>
    </w:p>
    <w:p w14:paraId="643334BD">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（五）本行政机关政府信息公开工作年度报告数据统计需要说明的事项：无</w:t>
      </w:r>
    </w:p>
    <w:p w14:paraId="3593F2B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（六）本行政机关认为需要报告的其他事项：无</w:t>
      </w:r>
    </w:p>
    <w:p w14:paraId="1503714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（七）其他有关文件专门要求通过政府信息公开工作年度报告予以报告的事项</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：无</w:t>
      </w:r>
      <w:bookmarkStart w:id="0" w:name="_GoBack"/>
      <w:bookmarkEnd w:id="0"/>
    </w:p>
    <w:p w14:paraId="31197461">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textAlignment w:val="auto"/>
        <w:rPr>
          <w:rFonts w:hint="eastAsia" w:ascii="仿宋" w:hAnsi="仿宋" w:eastAsia="仿宋" w:cs="仿宋"/>
          <w:b/>
          <w:bCs/>
          <w:color w:val="000000"/>
          <w:kern w:val="0"/>
          <w:sz w:val="32"/>
          <w:szCs w:val="32"/>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B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8022AC-F08E-4033-8F61-DB9B653BED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7BD5B2C-362A-4D0F-A2A7-064AAADE5277}"/>
  </w:font>
  <w:font w:name="方正仿宋简体">
    <w:panose1 w:val="02000000000000000000"/>
    <w:charset w:val="86"/>
    <w:family w:val="auto"/>
    <w:pitch w:val="default"/>
    <w:sig w:usb0="A00002BF" w:usb1="184F6CFA" w:usb2="00000012" w:usb3="00000000" w:csb0="00040001" w:csb1="00000000"/>
    <w:embedRegular r:id="rId3" w:fontKey="{3CA29C62-73E2-4965-B229-6B690449E325}"/>
  </w:font>
  <w:font w:name="楷体">
    <w:panose1 w:val="02010609060101010101"/>
    <w:charset w:val="86"/>
    <w:family w:val="auto"/>
    <w:pitch w:val="default"/>
    <w:sig w:usb0="800002BF" w:usb1="38CF7CFA" w:usb2="00000016" w:usb3="00000000" w:csb0="00040001" w:csb1="00000000"/>
    <w:embedRegular r:id="rId4" w:fontKey="{8066CD67-6B67-473B-8B67-7DA91CA4D466}"/>
  </w:font>
  <w:font w:name="仿宋">
    <w:panose1 w:val="02010609060101010101"/>
    <w:charset w:val="86"/>
    <w:family w:val="auto"/>
    <w:pitch w:val="default"/>
    <w:sig w:usb0="800002BF" w:usb1="38CF7CFA" w:usb2="00000016" w:usb3="00000000" w:csb0="00040001" w:csb1="00000000"/>
    <w:embedRegular r:id="rId5" w:fontKey="{2F34095B-6ADF-4644-9AFE-1F5ED50D18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8F4C1">
    <w:pPr>
      <w:spacing w:line="176" w:lineRule="auto"/>
      <w:ind w:left="4370"/>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692A"/>
    <w:rsid w:val="03EB6EFA"/>
    <w:rsid w:val="09DA6CC4"/>
    <w:rsid w:val="0EEF4FBF"/>
    <w:rsid w:val="0F9A13CF"/>
    <w:rsid w:val="1077526D"/>
    <w:rsid w:val="12B764E8"/>
    <w:rsid w:val="12F11306"/>
    <w:rsid w:val="16275973"/>
    <w:rsid w:val="16783AEC"/>
    <w:rsid w:val="17852965"/>
    <w:rsid w:val="1EC65D3D"/>
    <w:rsid w:val="1F8E3DC9"/>
    <w:rsid w:val="1FC644C7"/>
    <w:rsid w:val="20DB53A4"/>
    <w:rsid w:val="257E1EAA"/>
    <w:rsid w:val="27914A0E"/>
    <w:rsid w:val="2B512E32"/>
    <w:rsid w:val="2C2E3173"/>
    <w:rsid w:val="2E3166C0"/>
    <w:rsid w:val="31E87920"/>
    <w:rsid w:val="35C97A69"/>
    <w:rsid w:val="3E9E5F37"/>
    <w:rsid w:val="45887F8A"/>
    <w:rsid w:val="4B1355B6"/>
    <w:rsid w:val="4CBA0C93"/>
    <w:rsid w:val="4D907392"/>
    <w:rsid w:val="4FDA2B47"/>
    <w:rsid w:val="578F4217"/>
    <w:rsid w:val="58EF7663"/>
    <w:rsid w:val="5CFA03D2"/>
    <w:rsid w:val="66C35C8B"/>
    <w:rsid w:val="6F0D03EB"/>
    <w:rsid w:val="7073427E"/>
    <w:rsid w:val="714E0847"/>
    <w:rsid w:val="725400DF"/>
    <w:rsid w:val="73E90A7C"/>
    <w:rsid w:val="746A1E3C"/>
    <w:rsid w:val="77FE2FC7"/>
    <w:rsid w:val="793C39C1"/>
    <w:rsid w:val="7C690A71"/>
    <w:rsid w:val="7CD2057E"/>
    <w:rsid w:val="7E0B01EB"/>
    <w:rsid w:val="7EAE6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solidFill>
                  <a:schemeClr val="tx1">
                    <a:lumMod val="75000"/>
                    <a:lumOff val="25000"/>
                  </a:schemeClr>
                </a:solidFill>
                <a:uFillTx/>
              </a:rPr>
              <a:t>发布</a:t>
            </a:r>
            <a:r>
              <a:t>信息数量</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1"/>
              <c:layout>
                <c:manualLayout>
                  <c:x val="-0.071518970510396"/>
                  <c:y val="0.076559112571252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05891962122828"/>
                  <c:y val="0.024182085311814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77839993318675"/>
                  <c:y val="-0.16809819580866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财政资金</c:v>
                </c:pt>
                <c:pt idx="1">
                  <c:v>减税降费</c:v>
                </c:pt>
                <c:pt idx="2">
                  <c:v>政府采购</c:v>
                </c:pt>
                <c:pt idx="3">
                  <c:v>优化营商环境</c:v>
                </c:pt>
                <c:pt idx="4">
                  <c:v>建议提案办理</c:v>
                </c:pt>
                <c:pt idx="5">
                  <c:v>重点领域信息公开</c:v>
                </c:pt>
              </c:strCache>
            </c:strRef>
          </c:cat>
          <c:val>
            <c:numRef>
              <c:f>Sheet1!$B$2:$B$7</c:f>
              <c:numCache>
                <c:formatCode>General</c:formatCode>
                <c:ptCount val="6"/>
                <c:pt idx="0">
                  <c:v>7</c:v>
                </c:pt>
                <c:pt idx="1">
                  <c:v>31</c:v>
                </c:pt>
                <c:pt idx="2">
                  <c:v>13</c:v>
                </c:pt>
                <c:pt idx="3">
                  <c:v>150</c:v>
                </c:pt>
                <c:pt idx="4">
                  <c:v>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1"/>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2"/>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3"/>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4"/>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egendEntry>
        <c:idx val="5"/>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Entry>
      <c:layout/>
      <c:overlay val="0"/>
      <c:spPr>
        <a:noFill/>
        <a:ln>
          <a:noFill/>
        </a:ln>
        <a:effectLst/>
      </c:spPr>
      <c:txPr>
        <a:bodyPr rot="0" spcFirstLastPara="0" vertOverflow="ellipsis" vert="horz" wrap="square" anchor="ctr" anchorCtr="1"/>
        <a:lstStyle/>
        <a:p>
          <a:pPr>
            <a:defRPr lang="zh-CN" sz="12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仿宋" panose="02010609060101010101" charset="-122"/>
              <a:cs typeface="+mn-cs"/>
            </a:defRPr>
          </a:pPr>
        </a:p>
      </c:txPr>
    </c:legend>
    <c:plotVisOnly val="1"/>
    <c:dispBlanksAs val="gap"/>
    <c:showDLblsOverMax val="0"/>
    <c:extLst>
      <c:ext uri="{0b15fc19-7d7d-44ad-8c2d-2c3a37ce22c3}">
        <chartProps xmlns="https://web.wps.cn/et/2018/main" chartId="{85f464d0-124d-44ff-9c88-0b327240185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2073</Words>
  <Characters>2163</Characters>
  <Lines>0</Lines>
  <Paragraphs>0</Paragraphs>
  <TotalTime>1</TotalTime>
  <ScaleCrop>false</ScaleCrop>
  <LinksUpToDate>false</LinksUpToDate>
  <CharactersWithSpaces>2165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2025-01-17T08:54:00Z</dcterms:created>
  <dc:creator>Administrator</dc:creator>
  <cp:lastModifiedBy>.</cp:lastModifiedBy>
  <dcterms:modified xsi:type="dcterms:W3CDTF">2025-01-21T12:42:53Z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eyJoZGlkIjoiNDgxYzI4NDZlMDQyMGRkYTBhMmJmZDE1NzVlMTgyMTMiLCJ1c2VySWQiOiIzMDQyNzY5NDMifQ==</vt:lpwstr>
  </property>
  <property fmtid="{D5CDD505-2E9C-101B-9397-08002B2CF9AE}" pid="4" name="ICV">
    <vt:lpwstr>3CDD174A215F4805A5A779ACF53D93E0_12</vt:lpwstr>
  </property>
</Properties>
</file>