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梁山县马营镇人民政府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年政府信息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公开工作年度报告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梁山县马营镇人民政府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年12月31日止。本报告电子版可在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梁山县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政府门户网站（http://www.liangshan.gov.cn/）查阅或下载。如对本报告有疑问，请与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梁山县马营镇人民政府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梁山县马营镇人民政府驻地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7530017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023年以来，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马营镇人民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政府信息公开工作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2"/>
          <w:sz w:val="31"/>
          <w:szCs w:val="31"/>
          <w:lang w:val="en-US" w:eastAsia="zh-CN" w:bidi="ar-SA"/>
        </w:rPr>
        <w:t>以习近平新时代中国特色社会主义思想为指导，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深入学习贯彻党的二十大精神，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委、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政府的正确领导下，按照《中华人民共和国政府信息公开条例》精神和有关要求，紧紧围绕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镇党委、政府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中心工作，以提升政务公开工作质量为主线，本着利民便民的原则，进一步提高政府治理和政府服务水平，进一步增强人民群众获得感和满意度。现将2023年政府信息公开工作情况总结如下：</w:t>
      </w:r>
    </w:p>
    <w:p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主动公开情况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委、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政府关于政府信息公开的重点任务工作要求，及时更新政务公开栏和网站内容，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</w:rPr>
        <w:t>切实保障人民群众的知情权、参与权、表达权和监督权，助力深化改革、经济发展、民生改善和政府建设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。2023年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马营镇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累计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</w:rPr>
        <w:t>通过梁山县人民政府网站信息公开专栏进行分类公开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153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</w:rPr>
        <w:t>条。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其中: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乡镇动态34条、部门文件2条、镇街文件5条、规划计划3条、营商环境28条、重大建设项目1条、乡村振兴1条、应急预案4条、公共服务3条、低保政策1条、医疗救助1条、养老服务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2条、社会保险3条、人事信息4条、会议公开7条、人大代表建议答复2条、法治政府建设1条、公告公示51条。</w:t>
      </w:r>
    </w:p>
    <w:p>
      <w:pPr>
        <w:spacing w:line="590" w:lineRule="exact"/>
        <w:ind w:right="-105" w:rightChars="-50" w:firstLine="420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80010</wp:posOffset>
            </wp:positionV>
            <wp:extent cx="5271770" cy="3417570"/>
            <wp:effectExtent l="5080" t="4445" r="19050" b="6985"/>
            <wp:wrapTight wrapText="bothSides">
              <wp:wrapPolygon>
                <wp:start x="-21" y="-28"/>
                <wp:lineTo x="-21" y="21524"/>
                <wp:lineTo x="21522" y="21524"/>
                <wp:lineTo x="21522" y="-28"/>
                <wp:lineTo x="-21" y="-28"/>
              </wp:wrapPolygon>
            </wp:wrapTight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105" w:rightChars="-50" w:firstLine="420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147955</wp:posOffset>
            </wp:positionV>
            <wp:extent cx="5272405" cy="3327400"/>
            <wp:effectExtent l="4445" t="4445" r="19050" b="20955"/>
            <wp:wrapTight wrapText="bothSides">
              <wp:wrapPolygon>
                <wp:start x="-18" y="-29"/>
                <wp:lineTo x="-18" y="21489"/>
                <wp:lineTo x="21522" y="21489"/>
                <wp:lineTo x="21522" y="-29"/>
                <wp:lineTo x="-18" y="-29"/>
              </wp:wrapPolygon>
            </wp:wrapTight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2023年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马营镇未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收到政府信息公开申请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2023年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马营镇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没有因政府信息公开被申请行政复议、被提起行政诉讼和接受行政申诉、举报案例等。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马营镇严格落实政务公开工作要求，切实加强对政务公开工作的组织领导，落实信息公开三审机制，凡需上网公开的信息均由分管领导进行审核，再由办公室专人进行发布，确保信息及时、准确地发布，保障政务公开工作稳步推进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5" w:rightChars="-50" w:firstLine="622" w:firstLineChars="200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按照上级部门要求，马营镇人民政府信息公开一律在梁山县人民政府网站进行发布，不单独开设其他网站。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稳步推进基层政务公开标准化规范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化工作，积极做好主动公开政府信息的维护、更新工作。</w:t>
      </w:r>
    </w:p>
    <w:p>
      <w:pPr>
        <w:numPr>
          <w:ilvl w:val="0"/>
          <w:numId w:val="2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马营镇建立了政务公开监督机制，对政务公开工作进行监督检查。严把公开内容和项目关，既防止该公开的不公开，又防止不该公开的乱公开。采取多种形式，强化监督检查工作，实行定期检查与不定期检查相结合；加强政务公开监督。另外，鼓励广大干部、群众参与监督，积极反映公开过程中存在的突出问题，使公开工作更加扎实、有序开展。</w:t>
      </w:r>
    </w:p>
    <w:p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（一）上年度存在问题整改情况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default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2022年马营镇存在的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部分信息公开不及时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及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个别栏目更新数量过少，栏目内容较旧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问题得到有效改善，2023年马营镇采取多项措施加强政府信息公开工作：一是及时更新，组织专人对栏目信息进行逐项逐篇检查，保证栏目内容时效性；二是开展日常网站运维排查，及时更正文字表述错误，确保网站内容的有效性；三是强化队伍建设，提高人员工作能力，不断拓展政府信息公开的深度和广度，提高政务公开效果。2023年马营镇政府信息公开数量得到显著提升，较去年同比增长92%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（二）本年度存在问题及下步工作打算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eastAsia="方正仿宋简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2023年，马营镇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严格贯彻落实《政府信息公开条例》，认真完成取得了一定成效，但与信息公开工作要求还存在一定差距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是宣传力度不够，对信息公开宣传不到位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公开平台载体建设方面，与群众的互动交流仍显薄弱，平台管理科学化水平有待提升</w:t>
      </w:r>
      <w:r>
        <w:rPr>
          <w:rFonts w:hint="eastAsia" w:eastAsia="方正仿宋简体" w:cs="Times New Roman"/>
          <w:b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针对上述问题，马营镇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将</w:t>
      </w:r>
      <w:r>
        <w:rPr>
          <w:rFonts w:hint="eastAsia" w:eastAsia="方正仿宋简体" w:cs="Times New Roman"/>
          <w:b/>
          <w:color w:val="auto"/>
          <w:sz w:val="32"/>
          <w:szCs w:val="32"/>
          <w:lang w:eastAsia="zh-CN"/>
        </w:rPr>
        <w:t>在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2024年的工作中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努力做好以下几个方面的工作</w:t>
      </w:r>
      <w:r>
        <w:rPr>
          <w:rFonts w:hint="eastAsia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继续加大对《条例》的贯彻落实。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进一步提高认识，切实加强对《政府信息公开条例》的学习宣传；二是利用乡镇动态充分展现我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日常动态，及时将重要会议、重点领域工作推进完成情况等信息第一时间上发布；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进一步加强政务新媒体建设，通过“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稀旺马营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”微信公众号，构建政府与群众联系的</w:t>
      </w:r>
      <w:r>
        <w:rPr>
          <w:rFonts w:hint="eastAsia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桥梁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与纽带。强化公众号日常的管理与维护，加速线上线下融合发展。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 w:right="-105" w:rightChars="-50" w:firstLine="321" w:firstLineChars="1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）本行政机关落实上级年度政务公开工作要点情况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年，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马营镇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严格贯彻落实《条例》，根据工作实际及时调整了政务公开领导小组，加强对政务公开工作的规划指导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保质保量完成各项工作任务，及时回应关切、解疑释惑，适应新时代的新变化和新要求，依法依规全程公开政府信息，不断提高公开质量和实效。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eastAsia="方正仿宋简体" w:cs="Times New Roman"/>
          <w:b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报告依据《政府信息公开信息处理费管理办法》收取信息处理费的情况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本年度马营镇没有产生信息公开处理费。</w:t>
      </w:r>
    </w:p>
    <w:p>
      <w:pPr>
        <w:spacing w:line="590" w:lineRule="exact"/>
        <w:ind w:right="-105" w:rightChars="-50" w:firstLine="883" w:firstLineChars="200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sectPr>
      <w:pgSz w:w="11906" w:h="16838"/>
      <w:pgMar w:top="1871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4723A21-5A3C-465B-AF5B-BFEA48B79BD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AABE616-8F82-43C3-B4BE-0E0D45EEE241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A5DBD3F-B2BC-4800-9D53-F76FC625A4D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1A75FC-AFB1-4249-8ACA-CC61D4A306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AD701"/>
    <w:multiLevelType w:val="singleLevel"/>
    <w:tmpl w:val="D62AD7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60AD96"/>
    <w:multiLevelType w:val="singleLevel"/>
    <w:tmpl w:val="DA60AD9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WMxNGY2MjNlYmVlMmI0NmRkMDMxMmMwY2Q5MmEifQ=="/>
  </w:docVars>
  <w:rsids>
    <w:rsidRoot w:val="52A53F11"/>
    <w:rsid w:val="0C71720D"/>
    <w:rsid w:val="137B6FBB"/>
    <w:rsid w:val="1A366198"/>
    <w:rsid w:val="20592BE1"/>
    <w:rsid w:val="293C3C0E"/>
    <w:rsid w:val="3EA3607D"/>
    <w:rsid w:val="41800724"/>
    <w:rsid w:val="47150183"/>
    <w:rsid w:val="47E66E12"/>
    <w:rsid w:val="52A53F11"/>
    <w:rsid w:val="56DC0644"/>
    <w:rsid w:val="6C1D6B9C"/>
    <w:rsid w:val="734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政务信息公开发布数量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"数量"</c:f>
              <c:strCache>
                <c:ptCount val="1"/>
                <c:pt idx="0">
                  <c:v>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[工作簿1]Sheet1!$A$2:$A$19</c:f>
              <c:strCache>
                <c:ptCount val="18"/>
                <c:pt idx="0">
                  <c:v>乡镇动态</c:v>
                </c:pt>
                <c:pt idx="1">
                  <c:v>部门文件</c:v>
                </c:pt>
                <c:pt idx="2">
                  <c:v>镇街文件</c:v>
                </c:pt>
                <c:pt idx="3">
                  <c:v>规划计划</c:v>
                </c:pt>
                <c:pt idx="4">
                  <c:v>营商环境</c:v>
                </c:pt>
                <c:pt idx="5">
                  <c:v>重大建设项目</c:v>
                </c:pt>
                <c:pt idx="6">
                  <c:v>乡村振兴</c:v>
                </c:pt>
                <c:pt idx="7">
                  <c:v>应急预案</c:v>
                </c:pt>
                <c:pt idx="8">
                  <c:v>公共服务</c:v>
                </c:pt>
                <c:pt idx="9">
                  <c:v>低保政策</c:v>
                </c:pt>
                <c:pt idx="10">
                  <c:v>医疗救助</c:v>
                </c:pt>
                <c:pt idx="11">
                  <c:v>养老服务</c:v>
                </c:pt>
                <c:pt idx="12">
                  <c:v>社会保险</c:v>
                </c:pt>
                <c:pt idx="13">
                  <c:v>人事信息</c:v>
                </c:pt>
                <c:pt idx="14">
                  <c:v>会议公开</c:v>
                </c:pt>
                <c:pt idx="15">
                  <c:v>人大代表建议答复</c:v>
                </c:pt>
                <c:pt idx="16">
                  <c:v>法治政府建设</c:v>
                </c:pt>
                <c:pt idx="17">
                  <c:v>公告公示</c:v>
                </c:pt>
              </c:strCache>
            </c:strRef>
          </c:cat>
          <c:val>
            <c:numRef>
              <c:f>[工作簿1]Sheet1!$B$2:$B$19</c:f>
              <c:numCache>
                <c:formatCode>General</c:formatCode>
                <c:ptCount val="18"/>
                <c:pt idx="0">
                  <c:v>34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28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7</c:v>
                </c:pt>
                <c:pt idx="15">
                  <c:v>2</c:v>
                </c:pt>
                <c:pt idx="16">
                  <c:v>1</c:v>
                </c:pt>
                <c:pt idx="17">
                  <c:v>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627880725"/>
        <c:axId val="508269312"/>
      </c:barChart>
      <c:catAx>
        <c:axId val="62788072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8269312"/>
        <c:crosses val="autoZero"/>
        <c:auto val="1"/>
        <c:lblAlgn val="ctr"/>
        <c:lblOffset val="100"/>
        <c:noMultiLvlLbl val="0"/>
      </c:catAx>
      <c:valAx>
        <c:axId val="50826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数量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788072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政务信息公开发布比例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1">
                    <a:lumMod val="50000"/>
                    <a:alpha val="30000"/>
                  </a:scheme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2">
                    <a:lumMod val="50000"/>
                    <a:alpha val="30000"/>
                  </a:scheme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3">
                    <a:lumMod val="50000"/>
                    <a:alpha val="30000"/>
                  </a:scheme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40000"/>
                      <a:lumOff val="60000"/>
                    </a:schemeClr>
                  </a:gs>
                  <a:gs pos="9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/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4">
                    <a:lumMod val="50000"/>
                    <a:alpha val="30000"/>
                  </a:schemeClr>
                </a:outerShdw>
              </a:effectLst>
            </c:spPr>
          </c:dPt>
          <c:dPt>
            <c:idx val="4"/>
            <c:bubble3D val="0"/>
            <c:spPr>
              <a:gradFill>
                <a:gsLst>
                  <a:gs pos="0">
                    <a:schemeClr val="accent5">
                      <a:lumMod val="40000"/>
                      <a:lumOff val="60000"/>
                    </a:schemeClr>
                  </a:gs>
                  <a:gs pos="90000">
                    <a:schemeClr val="accent5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5"/>
                    </a:gs>
                    <a:gs pos="100000">
                      <a:schemeClr val="accent5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5">
                    <a:lumMod val="50000"/>
                    <a:alpha val="30000"/>
                  </a:schemeClr>
                </a:outerShdw>
              </a:effectLst>
            </c:spPr>
          </c:dPt>
          <c:dPt>
            <c:idx val="5"/>
            <c:bubble3D val="0"/>
            <c:spPr>
              <a:gradFill>
                <a:gsLst>
                  <a:gs pos="0">
                    <a:schemeClr val="accent6">
                      <a:lumMod val="40000"/>
                      <a:lumOff val="60000"/>
                    </a:schemeClr>
                  </a:gs>
                  <a:gs pos="90000">
                    <a:schemeClr val="accent6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6"/>
                    </a:gs>
                    <a:gs pos="100000">
                      <a:schemeClr val="accent6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6">
                    <a:lumMod val="50000"/>
                    <a:alpha val="30000"/>
                  </a:schemeClr>
                </a:outerShdw>
              </a:effectLst>
            </c:spPr>
          </c:dPt>
          <c:dPt>
            <c:idx val="6"/>
            <c:bubble3D val="0"/>
            <c:spPr>
              <a:gradFill>
                <a:gsLst>
                  <a:gs pos="0">
                    <a:schemeClr val="accent1">
                      <a:lumMod val="60000"/>
                      <a:lumMod val="40000"/>
                      <a:lumOff val="60000"/>
                    </a:schemeClr>
                  </a:gs>
                  <a:gs pos="9000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lumMod val="60000"/>
                      </a:schemeClr>
                    </a:gs>
                    <a:gs pos="100000">
                      <a:schemeClr val="accent1">
                        <a:lumMod val="6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1">
                    <a:lumMod val="60000"/>
                    <a:lumMod val="50000"/>
                    <a:alpha val="30000"/>
                  </a:schemeClr>
                </a:outerShdw>
              </a:effectLst>
            </c:spPr>
          </c:dPt>
          <c:dPt>
            <c:idx val="7"/>
            <c:bubble3D val="0"/>
            <c:spPr>
              <a:gradFill>
                <a:gsLst>
                  <a:gs pos="0">
                    <a:schemeClr val="accent2">
                      <a:lumMod val="60000"/>
                      <a:lumMod val="40000"/>
                      <a:lumOff val="60000"/>
                    </a:schemeClr>
                  </a:gs>
                  <a:gs pos="9000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lumMod val="60000"/>
                      </a:schemeClr>
                    </a:gs>
                    <a:gs pos="100000">
                      <a:schemeClr val="accent2">
                        <a:lumMod val="6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2">
                    <a:lumMod val="60000"/>
                    <a:lumMod val="50000"/>
                    <a:alpha val="30000"/>
                  </a:schemeClr>
                </a:outerShdw>
              </a:effectLst>
            </c:spPr>
          </c:dPt>
          <c:dPt>
            <c:idx val="8"/>
            <c:bubble3D val="0"/>
            <c:spPr>
              <a:gradFill>
                <a:gsLst>
                  <a:gs pos="0">
                    <a:schemeClr val="accent3">
                      <a:lumMod val="60000"/>
                      <a:lumMod val="40000"/>
                      <a:lumOff val="60000"/>
                    </a:schemeClr>
                  </a:gs>
                  <a:gs pos="9000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>
                        <a:lumMod val="60000"/>
                      </a:schemeClr>
                    </a:gs>
                    <a:gs pos="100000">
                      <a:schemeClr val="accent3">
                        <a:lumMod val="6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3">
                    <a:lumMod val="60000"/>
                    <a:lumMod val="50000"/>
                    <a:alpha val="30000"/>
                  </a:schemeClr>
                </a:outerShdw>
              </a:effectLst>
            </c:spPr>
          </c:dPt>
          <c:dPt>
            <c:idx val="9"/>
            <c:bubble3D val="0"/>
            <c:spPr>
              <a:gradFill>
                <a:gsLst>
                  <a:gs pos="0">
                    <a:schemeClr val="accent4">
                      <a:lumMod val="60000"/>
                      <a:lumMod val="40000"/>
                      <a:lumOff val="60000"/>
                    </a:schemeClr>
                  </a:gs>
                  <a:gs pos="9000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>
                        <a:lumMod val="60000"/>
                      </a:schemeClr>
                    </a:gs>
                    <a:gs pos="100000">
                      <a:schemeClr val="accent4">
                        <a:lumMod val="6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4">
                    <a:lumMod val="60000"/>
                    <a:lumMod val="50000"/>
                    <a:alpha val="30000"/>
                  </a:schemeClr>
                </a:outerShdw>
              </a:effectLst>
            </c:spPr>
          </c:dPt>
          <c:dPt>
            <c:idx val="10"/>
            <c:bubble3D val="0"/>
            <c:spPr>
              <a:gradFill>
                <a:gsLst>
                  <a:gs pos="0">
                    <a:schemeClr val="accent5">
                      <a:lumMod val="60000"/>
                      <a:lumMod val="40000"/>
                      <a:lumOff val="60000"/>
                    </a:schemeClr>
                  </a:gs>
                  <a:gs pos="9000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5">
                        <a:lumMod val="60000"/>
                      </a:schemeClr>
                    </a:gs>
                    <a:gs pos="100000">
                      <a:schemeClr val="accent5">
                        <a:lumMod val="6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5">
                    <a:lumMod val="60000"/>
                    <a:lumMod val="50000"/>
                    <a:alpha val="30000"/>
                  </a:schemeClr>
                </a:outerShdw>
              </a:effectLst>
            </c:spPr>
          </c:dPt>
          <c:dPt>
            <c:idx val="11"/>
            <c:bubble3D val="0"/>
            <c:spPr>
              <a:gradFill>
                <a:gsLst>
                  <a:gs pos="0">
                    <a:schemeClr val="accent6">
                      <a:lumMod val="60000"/>
                      <a:lumMod val="40000"/>
                      <a:lumOff val="60000"/>
                    </a:schemeClr>
                  </a:gs>
                  <a:gs pos="9000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6">
                        <a:lumMod val="60000"/>
                      </a:schemeClr>
                    </a:gs>
                    <a:gs pos="100000">
                      <a:schemeClr val="accent6">
                        <a:lumMod val="6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6">
                    <a:lumMod val="60000"/>
                    <a:lumMod val="50000"/>
                    <a:alpha val="30000"/>
                  </a:schemeClr>
                </a:outerShdw>
              </a:effectLst>
            </c:spPr>
          </c:dPt>
          <c:dPt>
            <c:idx val="12"/>
            <c:bubble3D val="0"/>
            <c:spPr>
              <a:gradFill>
                <a:gsLst>
                  <a:gs pos="0">
                    <a:schemeClr val="accent1">
                      <a:lumMod val="80000"/>
                      <a:lumOff val="20000"/>
                      <a:lumMod val="40000"/>
                      <a:lumOff val="60000"/>
                    </a:schemeClr>
                  </a:gs>
                  <a:gs pos="9000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lumMod val="80000"/>
                        <a:lumOff val="20000"/>
                      </a:schemeClr>
                    </a:gs>
                    <a:gs pos="100000">
                      <a:schemeClr val="accent1">
                        <a:lumMod val="80000"/>
                        <a:lumOff val="2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1">
                    <a:lumMod val="80000"/>
                    <a:lumOff val="20000"/>
                    <a:lumMod val="50000"/>
                    <a:alpha val="30000"/>
                  </a:schemeClr>
                </a:outerShdw>
              </a:effectLst>
            </c:spPr>
          </c:dPt>
          <c:dPt>
            <c:idx val="13"/>
            <c:bubble3D val="0"/>
            <c:spPr>
              <a:gradFill>
                <a:gsLst>
                  <a:gs pos="0">
                    <a:schemeClr val="accent2">
                      <a:lumMod val="80000"/>
                      <a:lumOff val="20000"/>
                      <a:lumMod val="40000"/>
                      <a:lumOff val="60000"/>
                    </a:schemeClr>
                  </a:gs>
                  <a:gs pos="9000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lumMod val="80000"/>
                        <a:lumOff val="20000"/>
                      </a:schemeClr>
                    </a:gs>
                    <a:gs pos="100000">
                      <a:schemeClr val="accent2">
                        <a:lumMod val="80000"/>
                        <a:lumOff val="2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2">
                    <a:lumMod val="80000"/>
                    <a:lumOff val="20000"/>
                    <a:lumMod val="50000"/>
                    <a:alpha val="30000"/>
                  </a:schemeClr>
                </a:outerShdw>
              </a:effectLst>
            </c:spPr>
          </c:dPt>
          <c:dPt>
            <c:idx val="14"/>
            <c:bubble3D val="0"/>
            <c:spPr>
              <a:gradFill>
                <a:gsLst>
                  <a:gs pos="0">
                    <a:schemeClr val="accent3">
                      <a:lumMod val="80000"/>
                      <a:lumOff val="20000"/>
                      <a:lumMod val="40000"/>
                      <a:lumOff val="60000"/>
                    </a:schemeClr>
                  </a:gs>
                  <a:gs pos="9000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>
                        <a:lumMod val="80000"/>
                        <a:lumOff val="20000"/>
                      </a:schemeClr>
                    </a:gs>
                    <a:gs pos="100000">
                      <a:schemeClr val="accent3">
                        <a:lumMod val="80000"/>
                        <a:lumOff val="2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3">
                    <a:lumMod val="80000"/>
                    <a:lumOff val="20000"/>
                    <a:lumMod val="50000"/>
                    <a:alpha val="30000"/>
                  </a:schemeClr>
                </a:outerShdw>
              </a:effectLst>
            </c:spPr>
          </c:dPt>
          <c:dPt>
            <c:idx val="15"/>
            <c:bubble3D val="0"/>
            <c:spPr>
              <a:gradFill>
                <a:gsLst>
                  <a:gs pos="0">
                    <a:schemeClr val="accent4">
                      <a:lumMod val="80000"/>
                      <a:lumOff val="20000"/>
                      <a:lumMod val="40000"/>
                      <a:lumOff val="60000"/>
                    </a:schemeClr>
                  </a:gs>
                  <a:gs pos="9000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>
                        <a:lumMod val="80000"/>
                        <a:lumOff val="20000"/>
                      </a:schemeClr>
                    </a:gs>
                    <a:gs pos="100000">
                      <a:schemeClr val="accent4">
                        <a:lumMod val="80000"/>
                        <a:lumOff val="2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4">
                    <a:lumMod val="80000"/>
                    <a:lumOff val="20000"/>
                    <a:lumMod val="50000"/>
                    <a:alpha val="30000"/>
                  </a:schemeClr>
                </a:outerShdw>
              </a:effectLst>
            </c:spPr>
          </c:dPt>
          <c:dPt>
            <c:idx val="16"/>
            <c:bubble3D val="0"/>
            <c:spPr>
              <a:gradFill>
                <a:gsLst>
                  <a:gs pos="0">
                    <a:schemeClr val="accent5">
                      <a:lumMod val="80000"/>
                      <a:lumOff val="20000"/>
                      <a:lumMod val="40000"/>
                      <a:lumOff val="60000"/>
                    </a:schemeClr>
                  </a:gs>
                  <a:gs pos="9000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5">
                        <a:lumMod val="80000"/>
                        <a:lumOff val="20000"/>
                      </a:schemeClr>
                    </a:gs>
                    <a:gs pos="100000">
                      <a:schemeClr val="accent5">
                        <a:lumMod val="80000"/>
                        <a:lumOff val="2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5">
                    <a:lumMod val="80000"/>
                    <a:lumOff val="20000"/>
                    <a:lumMod val="50000"/>
                    <a:alpha val="30000"/>
                  </a:schemeClr>
                </a:outerShdw>
              </a:effectLst>
            </c:spPr>
          </c:dPt>
          <c:dPt>
            <c:idx val="17"/>
            <c:bubble3D val="0"/>
            <c:spPr>
              <a:gradFill>
                <a:gsLst>
                  <a:gs pos="0">
                    <a:schemeClr val="accent6">
                      <a:lumMod val="80000"/>
                      <a:lumOff val="20000"/>
                      <a:lumMod val="40000"/>
                      <a:lumOff val="60000"/>
                    </a:schemeClr>
                  </a:gs>
                  <a:gs pos="9000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6">
                        <a:lumMod val="80000"/>
                        <a:lumOff val="20000"/>
                      </a:schemeClr>
                    </a:gs>
                    <a:gs pos="100000">
                      <a:schemeClr val="accent6">
                        <a:lumMod val="80000"/>
                        <a:lumOff val="2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6">
                    <a:lumMod val="80000"/>
                    <a:lumOff val="20000"/>
                    <a:lumMod val="50000"/>
                    <a:alpha val="30000"/>
                  </a:scheme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[工作簿1]Sheet1!$A$2:$A$19</c:f>
              <c:strCache>
                <c:ptCount val="18"/>
                <c:pt idx="0">
                  <c:v>乡镇动态</c:v>
                </c:pt>
                <c:pt idx="1">
                  <c:v>部门文件</c:v>
                </c:pt>
                <c:pt idx="2">
                  <c:v>镇街文件</c:v>
                </c:pt>
                <c:pt idx="3">
                  <c:v>规划计划</c:v>
                </c:pt>
                <c:pt idx="4">
                  <c:v>营商环境</c:v>
                </c:pt>
                <c:pt idx="5">
                  <c:v>重大建设项目</c:v>
                </c:pt>
                <c:pt idx="6">
                  <c:v>乡村振兴</c:v>
                </c:pt>
                <c:pt idx="7">
                  <c:v>应急预案</c:v>
                </c:pt>
                <c:pt idx="8">
                  <c:v>公共服务</c:v>
                </c:pt>
                <c:pt idx="9">
                  <c:v>低保政策</c:v>
                </c:pt>
                <c:pt idx="10">
                  <c:v>医疗救助</c:v>
                </c:pt>
                <c:pt idx="11">
                  <c:v>养老服务</c:v>
                </c:pt>
                <c:pt idx="12">
                  <c:v>社会保险</c:v>
                </c:pt>
                <c:pt idx="13">
                  <c:v>人事信息</c:v>
                </c:pt>
                <c:pt idx="14">
                  <c:v>会议公开</c:v>
                </c:pt>
                <c:pt idx="15">
                  <c:v>人大代表建议答复</c:v>
                </c:pt>
                <c:pt idx="16">
                  <c:v>法治政府建设</c:v>
                </c:pt>
                <c:pt idx="17">
                  <c:v>公告公示</c:v>
                </c:pt>
              </c:strCache>
            </c:strRef>
          </c:cat>
          <c:val>
            <c:numRef>
              <c:f>[工作簿1]Sheet1!$B$2:$B$19</c:f>
              <c:numCache>
                <c:formatCode>General</c:formatCode>
                <c:ptCount val="18"/>
                <c:pt idx="0">
                  <c:v>34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28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7</c:v>
                </c:pt>
                <c:pt idx="15">
                  <c:v>2</c:v>
                </c:pt>
                <c:pt idx="16">
                  <c:v>1</c:v>
                </c:pt>
                <c:pt idx="17">
                  <c:v>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2857</Words>
  <Characters>2969</Characters>
  <Lines>0</Lines>
  <Paragraphs>0</Paragraphs>
  <TotalTime>19</TotalTime>
  <ScaleCrop>false</ScaleCrop>
  <LinksUpToDate>false</LinksUpToDate>
  <CharactersWithSpaces>2970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2024-01-16T06:15:00Z</dcterms:created>
  <dc:creator>lenovo</dc:creator>
  <cp:lastModifiedBy>陇辰</cp:lastModifiedBy>
  <dcterms:modified xsi:type="dcterms:W3CDTF">2024-01-23T07:09:00Z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27F484344DE94DF3929FAAB1270B8608_13</vt:lpwstr>
  </property>
</Properties>
</file>