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jc w:val="center"/>
        <w:textAlignment w:val="auto"/>
        <w:rPr>
          <w:rFonts w:hint="default" w:ascii="Times New Roman" w:hAnsi="Times New Roman" w:cs="Times New Roman"/>
          <w:b/>
          <w:bCs w:val="0"/>
          <w:sz w:val="36"/>
          <w:szCs w:val="36"/>
        </w:rPr>
      </w:pPr>
    </w:p>
    <w:p>
      <w:pPr>
        <w:pStyle w:val="15"/>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default" w:ascii="Times New Roman" w:hAnsi="Times New Roman" w:cs="Times New Roman"/>
          <w:b/>
          <w:bCs w:val="0"/>
        </w:rPr>
      </w:pPr>
    </w:p>
    <w:tbl>
      <w:tblPr>
        <w:tblStyle w:val="10"/>
        <w:tblW w:w="0" w:type="auto"/>
        <w:jc w:val="center"/>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1" w:hRule="exact"/>
          <w:jc w:val="center"/>
        </w:trPr>
        <w:tc>
          <w:tcPr>
            <w:tcW w:w="8946" w:type="dxa"/>
            <w:noWrap w:val="0"/>
            <w:vAlign w:val="center"/>
          </w:tcPr>
          <w:p>
            <w:pPr>
              <w:spacing w:line="1560" w:lineRule="exact"/>
              <w:jc w:val="distribute"/>
              <w:rPr>
                <w:rFonts w:hint="default" w:ascii="Times New Roman" w:hAnsi="Times New Roman" w:eastAsia="方正小标宋简体" w:cs="Times New Roman"/>
                <w:b/>
                <w:bCs w:val="0"/>
                <w:color w:val="FF0000"/>
                <w:w w:val="58"/>
                <w:sz w:val="126"/>
                <w:szCs w:val="126"/>
                <w:lang w:eastAsia="zh-CN"/>
              </w:rPr>
            </w:pPr>
            <w:r>
              <w:rPr>
                <w:rFonts w:hint="default" w:ascii="Times New Roman" w:hAnsi="Times New Roman" w:eastAsia="方正小标宋简体" w:cs="Times New Roman"/>
                <w:b/>
                <w:bCs w:val="0"/>
                <w:color w:val="FF0000"/>
                <w:w w:val="58"/>
                <w:sz w:val="144"/>
                <w:szCs w:val="144"/>
              </w:rPr>
              <w:t>梁山县人民政府办公室</w:t>
            </w:r>
          </w:p>
        </w:tc>
      </w:tr>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PrEx>
        <w:trPr>
          <w:trHeight w:val="1701" w:hRule="exact"/>
          <w:jc w:val="center"/>
        </w:trPr>
        <w:tc>
          <w:tcPr>
            <w:tcW w:w="8946" w:type="dxa"/>
            <w:noWrap w:val="0"/>
            <w:vAlign w:val="bottom"/>
          </w:tcPr>
          <w:p>
            <w:pPr>
              <w:keepNext w:val="0"/>
              <w:keepLines w:val="0"/>
              <w:pageBreakBefore w:val="0"/>
              <w:widowControl w:val="0"/>
              <w:kinsoku/>
              <w:wordWrap/>
              <w:overflowPunct/>
              <w:topLinePunct w:val="0"/>
              <w:autoSpaceDE/>
              <w:autoSpaceDN/>
              <w:bidi w:val="0"/>
              <w:adjustRightInd/>
              <w:snapToGrid/>
              <w:spacing w:after="97" w:afterLines="30" w:line="400" w:lineRule="exact"/>
              <w:jc w:val="center"/>
              <w:textAlignment w:val="auto"/>
              <w:rPr>
                <w:rFonts w:hint="default" w:ascii="Times New Roman" w:hAnsi="Times New Roman" w:cs="Times New Roman"/>
                <w:b/>
                <w:bCs w:val="0"/>
                <w:color w:val="FFFFFF"/>
              </w:rPr>
            </w:pPr>
            <w:bookmarkStart w:id="0" w:name="_GoBack"/>
            <w:r>
              <w:rPr>
                <w:rFonts w:hint="default" w:ascii="Times New Roman" w:hAnsi="Times New Roman" w:eastAsia="仿宋" w:cs="Times New Roman"/>
                <w:b/>
                <w:bCs w:val="0"/>
                <w:color w:val="000000"/>
                <w:sz w:val="32"/>
                <w:szCs w:val="32"/>
              </w:rPr>
              <w:t>梁政办内字〔202</w:t>
            </w:r>
            <w:r>
              <w:rPr>
                <w:rFonts w:hint="default" w:ascii="Times New Roman" w:hAnsi="Times New Roman" w:eastAsia="仿宋" w:cs="Times New Roman"/>
                <w:b/>
                <w:bCs w:val="0"/>
                <w:color w:val="000000"/>
                <w:sz w:val="32"/>
                <w:szCs w:val="32"/>
                <w:lang w:val="en-US" w:eastAsia="zh-CN"/>
              </w:rPr>
              <w:t>4</w:t>
            </w:r>
            <w:r>
              <w:rPr>
                <w:rFonts w:hint="default" w:ascii="Times New Roman" w:hAnsi="Times New Roman" w:eastAsia="仿宋" w:cs="Times New Roman"/>
                <w:b/>
                <w:bCs w:val="0"/>
                <w:color w:val="000000"/>
                <w:sz w:val="32"/>
                <w:szCs w:val="32"/>
              </w:rPr>
              <w:t>〕</w:t>
            </w:r>
            <w:r>
              <w:rPr>
                <w:rFonts w:hint="eastAsia" w:ascii="Times New Roman" w:hAnsi="Times New Roman" w:eastAsia="仿宋" w:cs="Times New Roman"/>
                <w:b/>
                <w:bCs w:val="0"/>
                <w:color w:val="000000"/>
                <w:sz w:val="32"/>
                <w:szCs w:val="32"/>
                <w:lang w:val="en-US" w:eastAsia="zh-CN"/>
              </w:rPr>
              <w:t>11</w:t>
            </w:r>
            <w:r>
              <w:rPr>
                <w:rFonts w:hint="default" w:ascii="Times New Roman" w:hAnsi="Times New Roman" w:eastAsia="仿宋" w:cs="Times New Roman"/>
                <w:b/>
                <w:bCs w:val="0"/>
                <w:color w:val="000000"/>
                <w:sz w:val="32"/>
                <w:szCs w:val="32"/>
              </w:rPr>
              <w:t>号</w:t>
            </w:r>
            <w:bookmarkEnd w:id="0"/>
          </w:p>
        </w:tc>
      </w:tr>
    </w:tbl>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default" w:ascii="Times New Roman" w:hAnsi="Times New Roman" w:eastAsia="方正小标宋简体" w:cs="Times New Roman"/>
          <w:b/>
          <w:bCs/>
          <w:sz w:val="44"/>
          <w:szCs w:val="44"/>
          <w:lang w:val="en-US"/>
        </w:rPr>
      </w:pP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梁山县人民政府办公室</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Times New Roman" w:hAnsi="Times New Roman" w:eastAsia="方正仿宋简体" w:cs="Times New Roman"/>
          <w:b/>
          <w:bCs/>
          <w:sz w:val="32"/>
          <w:szCs w:val="32"/>
          <w:lang w:eastAsia="zh-CN"/>
        </w:rPr>
      </w:pPr>
      <w:r>
        <w:rPr>
          <w:rFonts w:hint="eastAsia" w:ascii="Times New Roman" w:hAnsi="Times New Roman" w:eastAsia="方正小标宋简体" w:cs="Times New Roman"/>
          <w:b/>
          <w:bCs/>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黑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县委、县政府：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kern w:val="2"/>
          <w:sz w:val="32"/>
          <w:szCs w:val="32"/>
          <w:lang w:val="en-US" w:eastAsia="zh-CN" w:bidi="ar-SA"/>
        </w:rPr>
        <w:t>2024年，县政府办公室坚持以习近平新时代中国特色社会主义思想为指导，全面贯彻落实党的二十大和二十届二中、三中全会精神，深入学习贯彻习近平法治思想和习近平总书记视察山东重要讲话精神，扎实推进依法行政，切实抓好法治政府建设各项工作。现将有关情况报告如下：</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2"/>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pPr>
      <w:r>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t>一、主要举措和成效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方正楷体简体" w:cs="Times New Roman"/>
          <w:b/>
          <w:bCs/>
          <w:snapToGrid w:val="0"/>
          <w:color w:val="000000" w:themeColor="text1"/>
          <w:kern w:val="0"/>
          <w:sz w:val="32"/>
          <w:szCs w:val="22"/>
          <w:lang w:val="en-US" w:eastAsia="zh-CN"/>
          <w14:textFill>
            <w14:solidFill>
              <w14:schemeClr w14:val="tx1"/>
            </w14:solidFill>
          </w14:textFill>
        </w:rPr>
        <w:t>（一）提高政治站位，推进法治政府建设。</w:t>
      </w:r>
      <w:r>
        <w:rPr>
          <w:rFonts w:hint="default" w:ascii="Times New Roman" w:hAnsi="Times New Roman" w:eastAsia="方正仿宋简体" w:cs="Times New Roman"/>
          <w:b/>
          <w:bCs/>
          <w:kern w:val="2"/>
          <w:sz w:val="32"/>
          <w:szCs w:val="32"/>
          <w:lang w:val="en-US" w:eastAsia="zh-CN" w:bidi="ar-SA"/>
        </w:rPr>
        <w:t>坚持深入学习宣传贯彻习近平法治思想及相关会议精神，把学习贯彻党的二十大、二十届二中、三中全会精神和学习贯彻习近平法治思想紧密结合起来，深刻领会法治政府建设的重要意义，准确把握法治政府建设的新内涵和新要求，切实把思想和行动统一到习近平总书记和党中央的决策部署上来。紧紧抓住领导干部这个“关键少数”，县政府办公室主要负责人切实履行推进法治政府建设的第一责任人职责，把法治政府建设列入办公室党组重要议事日程，常态化推动将习近平法治思想作为党组理论学习中心组学习、干部培训和党员学习的重要内容，系统学习宪法、民法典、党内法规等法律法规。</w:t>
      </w:r>
      <w:r>
        <w:rPr>
          <w:rFonts w:hint="eastAsia" w:ascii="Times New Roman" w:hAnsi="Times New Roman" w:eastAsia="方正仿宋简体" w:cs="Times New Roman"/>
          <w:b/>
          <w:bCs/>
          <w:kern w:val="2"/>
          <w:sz w:val="32"/>
          <w:szCs w:val="32"/>
          <w:lang w:val="en-US" w:eastAsia="zh-CN" w:bidi="ar-SA"/>
        </w:rPr>
        <w:t>今年以</w:t>
      </w:r>
      <w:r>
        <w:rPr>
          <w:rFonts w:hint="default" w:ascii="Times New Roman" w:hAnsi="Times New Roman" w:eastAsia="方正仿宋简体" w:cs="Times New Roman"/>
          <w:b/>
          <w:bCs/>
          <w:kern w:val="2"/>
          <w:sz w:val="32"/>
          <w:szCs w:val="32"/>
          <w:lang w:val="en-US" w:eastAsia="zh-CN" w:bidi="ar-SA"/>
        </w:rPr>
        <w:t>来，县政府办班子</w:t>
      </w:r>
      <w:r>
        <w:rPr>
          <w:rFonts w:hint="eastAsia" w:ascii="Times New Roman" w:hAnsi="Times New Roman" w:eastAsia="方正仿宋简体" w:cs="Times New Roman"/>
          <w:b/>
          <w:bCs/>
          <w:kern w:val="2"/>
          <w:sz w:val="32"/>
          <w:szCs w:val="32"/>
          <w:lang w:val="en-US" w:eastAsia="zh-CN" w:bidi="ar-SA"/>
        </w:rPr>
        <w:t>会议</w:t>
      </w:r>
      <w:r>
        <w:rPr>
          <w:rFonts w:hint="default" w:ascii="Times New Roman" w:hAnsi="Times New Roman" w:eastAsia="方正仿宋简体" w:cs="Times New Roman"/>
          <w:b/>
          <w:bCs/>
          <w:kern w:val="2"/>
          <w:sz w:val="32"/>
          <w:szCs w:val="32"/>
          <w:lang w:val="en-US" w:eastAsia="zh-CN" w:bidi="ar-SA"/>
        </w:rPr>
        <w:t>学习相关法律知识8次，研究部署2次，开展法治培训4次；观看警示教育片《持续精准发力》，用“活教材”以案说纪、以案促学，激发担当作为；前往梁山县家风家训纪念馆开展廉政教育活动，强化全办廉政文化建设；组织全体职工参加国家工作人员学法用法学习考试，考试通过率100%；深入开展保密宣传月活动，增强干部职工的法律意识和规矩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outlineLvl w:val="9"/>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14:textFill>
            <w14:solidFill>
              <w14:schemeClr w14:val="tx1"/>
            </w14:solidFill>
          </w14:textFill>
        </w:rPr>
        <w:t>（</w:t>
      </w:r>
      <w:r>
        <w:rPr>
          <w:rFonts w:hint="eastAsia" w:ascii="Times New Roman" w:hAnsi="Times New Roman" w:eastAsia="方正楷体简体" w:cs="Times New Roman"/>
          <w:b/>
          <w:bCs/>
          <w:snapToGrid w:val="0"/>
          <w:color w:val="000000" w:themeColor="text1"/>
          <w:kern w:val="0"/>
          <w:sz w:val="32"/>
          <w:szCs w:val="22"/>
          <w:lang w:val="en-US" w:eastAsia="zh-CN"/>
          <w14:textFill>
            <w14:solidFill>
              <w14:schemeClr w14:val="tx1"/>
            </w14:solidFill>
          </w14:textFill>
        </w:rPr>
        <w:t>二</w:t>
      </w:r>
      <w:r>
        <w:rPr>
          <w:rFonts w:hint="default" w:ascii="Times New Roman" w:hAnsi="Times New Roman" w:eastAsia="方正楷体简体" w:cs="Times New Roman"/>
          <w:b/>
          <w:bCs/>
          <w:snapToGrid w:val="0"/>
          <w:color w:val="000000" w:themeColor="text1"/>
          <w:kern w:val="0"/>
          <w:sz w:val="32"/>
          <w:szCs w:val="22"/>
          <w:lang w:val="en-US" w:eastAsia="zh-CN"/>
          <w14:textFill>
            <w14:solidFill>
              <w14:schemeClr w14:val="tx1"/>
            </w14:solidFill>
          </w14:textFill>
        </w:rPr>
        <w:t>）坚持法治为民，持续完善执法监督体系。</w:t>
      </w:r>
      <w:r>
        <w:rPr>
          <w:rFonts w:hint="default" w:ascii="Times New Roman" w:hAnsi="Times New Roman" w:eastAsia="方正仿宋简体" w:cs="Times New Roman"/>
          <w:b/>
          <w:bCs/>
          <w:kern w:val="2"/>
          <w:sz w:val="32"/>
          <w:szCs w:val="32"/>
          <w:lang w:val="en-US" w:eastAsia="zh-CN" w:bidi="ar-SA"/>
        </w:rPr>
        <w:t>持续拓展监督渠道，压实监督责任，以公正公开赢得公信。一是充分利用政府信息公开平台</w:t>
      </w:r>
      <w:r>
        <w:rPr>
          <w:rFonts w:hint="eastAsia" w:ascii="Times New Roman" w:hAnsi="Times New Roman" w:eastAsia="方正仿宋简体" w:cs="Times New Roman"/>
          <w:b/>
          <w:bCs/>
          <w:kern w:val="2"/>
          <w:sz w:val="32"/>
          <w:szCs w:val="32"/>
          <w:lang w:val="en-US" w:eastAsia="zh-CN" w:bidi="ar-SA"/>
        </w:rPr>
        <w:t>等</w:t>
      </w:r>
      <w:r>
        <w:rPr>
          <w:rFonts w:hint="default" w:ascii="Times New Roman" w:hAnsi="Times New Roman" w:eastAsia="方正仿宋简体" w:cs="Times New Roman"/>
          <w:b/>
          <w:bCs/>
          <w:kern w:val="2"/>
          <w:sz w:val="32"/>
          <w:szCs w:val="32"/>
          <w:lang w:val="en-US" w:eastAsia="zh-CN" w:bidi="ar-SA"/>
        </w:rPr>
        <w:t>渠道，秉承“应公开、尽公开”的原则，及时、准确、全面地发布政务信息，确保政府信息的透明度与公众的知情权，自觉接受社会各界的广泛监督，以公开促公正，以透明增信任。二是充分发挥督查工作的“利剑”作用，坚持以督查促落实、以督查促提升、以督查促发展</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推动各项政策措施落地见效</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为经济社会高质量发展提供坚实保障。三是严格遵守各项规章制度。自觉接受党内监督、人大监督、民主监督，认真落实“三重一大”决策规定，重大事项集体研究，敏感事项充分讨论，保证党组决策的科学性、准确性和有效性。</w:t>
      </w:r>
      <w:r>
        <w:rPr>
          <w:rFonts w:hint="eastAsia" w:ascii="Times New Roman" w:hAnsi="Times New Roman" w:eastAsia="方正仿宋简体" w:cs="Times New Roman"/>
          <w:b/>
          <w:bCs/>
          <w:kern w:val="2"/>
          <w:sz w:val="32"/>
          <w:szCs w:val="32"/>
          <w:lang w:val="en-US" w:eastAsia="zh-CN" w:bidi="ar-SA"/>
        </w:rPr>
        <w:t>今年以来，</w:t>
      </w:r>
      <w:r>
        <w:rPr>
          <w:rFonts w:hint="default" w:ascii="Times New Roman" w:hAnsi="Times New Roman" w:eastAsia="方正仿宋简体" w:cs="Times New Roman"/>
          <w:b/>
          <w:bCs/>
          <w:kern w:val="2"/>
          <w:sz w:val="32"/>
          <w:szCs w:val="32"/>
          <w:lang w:val="en-US" w:eastAsia="zh-CN" w:bidi="ar-SA"/>
        </w:rPr>
        <w:t>受理政府信息公开申请件68件，公开政策文件10个，配备高质量解读20余条，解读率达到100%</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办理县政府主要领导批示件624件；办理市政府主要领导批示件73批次；办理省市会议活动安排事项52批次；办结人大建议128件</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政协提案160件，实现交办率、办结率、满意率三个100%；高质量完成民生实事项目34件</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征集2025年度县政府民生实事项目建议82项</w:t>
      </w:r>
      <w:r>
        <w:rPr>
          <w:rFonts w:hint="eastAsia" w:ascii="Times New Roman" w:hAnsi="Times New Roman" w:eastAsia="方正仿宋简体" w:cs="Times New Roman"/>
          <w:b/>
          <w:bCs/>
          <w:kern w:val="2"/>
          <w:sz w:val="32"/>
          <w:szCs w:val="32"/>
          <w:lang w:val="en-US" w:eastAsia="zh-CN" w:bidi="ar-SA"/>
        </w:rPr>
        <w:t>；持续推进政</w:t>
      </w:r>
      <w:r>
        <w:rPr>
          <w:rFonts w:hint="default" w:ascii="Times New Roman" w:hAnsi="Times New Roman" w:eastAsia="方正仿宋简体" w:cs="Times New Roman"/>
          <w:b/>
          <w:bCs/>
          <w:sz w:val="32"/>
          <w:szCs w:val="32"/>
        </w:rPr>
        <w:t>府工作办理情况跟踪督导，</w:t>
      </w:r>
      <w:r>
        <w:rPr>
          <w:rFonts w:hint="default" w:ascii="Times New Roman" w:hAnsi="Times New Roman" w:eastAsia="方正仿宋简体" w:cs="Times New Roman"/>
          <w:b/>
          <w:bCs/>
          <w:kern w:val="2"/>
          <w:sz w:val="32"/>
          <w:szCs w:val="32"/>
          <w:lang w:val="en-US" w:eastAsia="zh-CN" w:bidi="ar-SA"/>
        </w:rPr>
        <w:t>编发政务督查151期、工作提醒函51期</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督办函20期。</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w:t>
      </w:r>
      <w:r>
        <w:rPr>
          <w:rFonts w:hint="eastAsia"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三</w:t>
      </w: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）强化法治观念，着力提升政府治理能力。</w:t>
      </w:r>
      <w:r>
        <w:rPr>
          <w:rFonts w:hint="default" w:ascii="Times New Roman" w:hAnsi="Times New Roman" w:eastAsia="方正仿宋简体" w:cs="Times New Roman"/>
          <w:b/>
          <w:bCs/>
          <w:kern w:val="2"/>
          <w:sz w:val="32"/>
          <w:szCs w:val="32"/>
          <w:lang w:val="en-US" w:eastAsia="zh-CN" w:bidi="ar-SA"/>
        </w:rPr>
        <w:t>紧扣县委县政府“三重”工作任务、全面突破年决策部署，聚焦“争一流、争第一、争唯一”，不断提高运用法治思维和法治方式的能力，持续优化政务服务水平。一是深入开展调研活动，紧密围绕全县法治建设的总体部署，聚焦群众在法治领域的关注点与诉求，深入剖析全域法治工作的特色亮点，为制定更加精准有效的法治政策措施提供坚实依据。二是不断推进数字政府在法治建设中的应用，利用大数据等现代信息技术手段，提升法治政府的服务效能与监管能力，确保数字政府在法治轨道上稳步前行，为全县法治化进程贡献力量。</w:t>
      </w:r>
      <w:r>
        <w:rPr>
          <w:rFonts w:hint="eastAsia" w:ascii="Times New Roman" w:hAnsi="Times New Roman" w:eastAsia="方正仿宋简体" w:cs="Times New Roman"/>
          <w:b/>
          <w:bCs/>
          <w:kern w:val="2"/>
          <w:sz w:val="32"/>
          <w:szCs w:val="32"/>
          <w:lang w:val="en-US" w:eastAsia="zh-CN" w:bidi="ar-SA"/>
        </w:rPr>
        <w:t>今年以来，</w:t>
      </w:r>
      <w:r>
        <w:rPr>
          <w:rFonts w:hint="default" w:ascii="Times New Roman" w:hAnsi="Times New Roman" w:eastAsia="方正仿宋简体" w:cs="Times New Roman"/>
          <w:b/>
          <w:bCs/>
          <w:kern w:val="2"/>
          <w:sz w:val="32"/>
          <w:szCs w:val="32"/>
          <w:lang w:val="en-US" w:eastAsia="zh-CN" w:bidi="ar-SA"/>
        </w:rPr>
        <w:t>协调安排县政府系统调研课题40余项，2篇调研报告获得县政府主要领导批示，5篇调研报告获评市党委、市政府系统奖项</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基本建成“无证明城市”</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建设梁山县一体化大数据平台县级节点，完成55个单位的信息化系统调研</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依托济宁市智慧社区平台，构建涵盖人口、房屋、设施等多维度的数据库，构建多元功能于一体的便民服务体系</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经济开发区专用汽车优秀数据要素产业集聚区入选2024年度山东省四星优秀数据要素产业集聚区</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《防洪防汛数字化指挥和治理服务》入选省“数据要素×”典型应用案例</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专用车产业大脑获得省“数据要素×”赛道二等奖。</w:t>
      </w:r>
    </w:p>
    <w:p>
      <w:pPr>
        <w:pStyle w:val="14"/>
        <w:keepNext w:val="0"/>
        <w:keepLines w:val="0"/>
        <w:pageBreakBefore w:val="0"/>
        <w:widowControl w:val="0"/>
        <w:numPr>
          <w:ilvl w:val="0"/>
          <w:numId w:val="0"/>
        </w:numPr>
        <w:kinsoku/>
        <w:wordWrap/>
        <w:overflowPunct/>
        <w:topLinePunct w:val="0"/>
        <w:autoSpaceDE/>
        <w:autoSpaceDN/>
        <w:bidi w:val="0"/>
        <w:spacing w:line="560" w:lineRule="exact"/>
        <w:ind w:firstLine="64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w:t>
      </w:r>
      <w:r>
        <w:rPr>
          <w:rFonts w:hint="eastAsia"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四</w:t>
      </w: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）推动依法治理，夯实法治社会建设基础。</w:t>
      </w:r>
      <w:r>
        <w:rPr>
          <w:rFonts w:hint="default" w:ascii="Times New Roman" w:hAnsi="Times New Roman" w:eastAsia="方正仿宋简体" w:cs="Times New Roman"/>
          <w:b/>
          <w:bCs/>
          <w:kern w:val="2"/>
          <w:sz w:val="32"/>
          <w:szCs w:val="32"/>
          <w:lang w:val="en-US" w:eastAsia="zh-CN" w:bidi="ar-SA"/>
        </w:rPr>
        <w:t>大力普及法律法规宣传力度</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开展“反走私普法咨询宣传”集中宣传活动3次，发放宣传手册2000余份，禁毒宣传品100份。强化反走私打击力度</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组织开展“国门利剑2024”联合行动</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联合市场监管、公安等部门开展打击“冻肉”走私专项行动，检查鲜牛肉经营户3家，冷冻牛肉经营户4家。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2"/>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pPr>
      <w:r>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t>二、存在的不足及原因分析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2024年，县政府办公室法治建设工作虽然取得了一定成效，但对标中央省市要求和依法行政工作实际，还存在一些薄弱环节，主要表现在:一是部分干部对法律知识的学习还不够深入，在理解的深度和广度还有差距，灵活度不高，生搬硬套的多，透彻使用的少，没有结合我县实际情况，深思目前政府办公室法治建设存在的问题，重日常工作轻普法的思想还一定程度存在。二是法治宣传形式创新不够，满足于常规宣传，宣传方式比较单调，重点不够突出，利用抖音、快手等新形式、新方法宣传力度不够，普法工作与法治政府建设要求还有差距。</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34" w:firstLineChars="200"/>
        <w:jc w:val="both"/>
        <w:textAlignment w:val="auto"/>
        <w:outlineLvl w:val="2"/>
        <w:rPr>
          <w:rFonts w:hint="default" w:ascii="Times New Roman" w:hAnsi="Times New Roman" w:eastAsia="方正黑体简体" w:cs="Times New Roman"/>
          <w:b/>
          <w:bCs/>
          <w:snapToGrid w:val="0"/>
          <w:color w:val="000000" w:themeColor="text1"/>
          <w:w w:val="99"/>
          <w:kern w:val="0"/>
          <w:sz w:val="32"/>
          <w:szCs w:val="22"/>
          <w:lang w:val="en-US" w:eastAsia="zh-CN"/>
          <w14:textFill>
            <w14:solidFill>
              <w14:schemeClr w14:val="tx1"/>
            </w14:solidFill>
          </w14:textFill>
        </w:rPr>
      </w:pPr>
      <w:r>
        <w:rPr>
          <w:rFonts w:hint="default" w:ascii="Times New Roman" w:hAnsi="Times New Roman" w:eastAsia="方正黑体简体" w:cs="Times New Roman"/>
          <w:b/>
          <w:bCs/>
          <w:snapToGrid w:val="0"/>
          <w:color w:val="000000" w:themeColor="text1"/>
          <w:w w:val="99"/>
          <w:kern w:val="0"/>
          <w:sz w:val="32"/>
          <w:szCs w:val="22"/>
          <w:lang w:val="en-US" w:eastAsia="zh-CN"/>
          <w14:textFill>
            <w14:solidFill>
              <w14:schemeClr w14:val="tx1"/>
            </w14:solidFill>
          </w14:textFill>
        </w:rPr>
        <w:t>三、主要负责人履行推进法治建设第一责任人职责有关情况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一是深入学习法律知识。深入学习宣传贯彻习近平新时代中国特色社会主义思想，以习近平法治思想武装头脑、指导实践。通过党组理论学习中心组学习、干部培训和党员学习等方式，系统学习宪法、民法典、党内法规等法律法规。</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二是强化法治建设保障。成立了由办公室党组书记任组长，班子成员任副组长，机关各科室和下属事业单位主要负责人为成员的全面依法治县工作领导小组，将法治建设纳入全年重点工作。认真履行“一岗双责”，自觉承担法治建设第一责任人的职责，对法治建设重要工作亲自部署、重大问题亲自过问、重点环节亲自协调、重要任务亲自督办。</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三是持续推进法治建设。坚持把法治思维和法治方式贯穿于工作落实的各个环节。严格落实国家工作人员年度学法用法制度，每年</w:t>
      </w:r>
      <w:r>
        <w:rPr>
          <w:rFonts w:hint="eastAsia" w:ascii="Times New Roman" w:hAnsi="Times New Roman" w:eastAsia="方正仿宋简体" w:cs="Times New Roman"/>
          <w:b/>
          <w:bCs/>
          <w:kern w:val="2"/>
          <w:sz w:val="32"/>
          <w:szCs w:val="32"/>
          <w:lang w:val="en-US" w:eastAsia="zh-CN" w:bidi="ar-SA"/>
        </w:rPr>
        <w:t>组织</w:t>
      </w:r>
      <w:r>
        <w:rPr>
          <w:rFonts w:hint="default" w:ascii="Times New Roman" w:hAnsi="Times New Roman" w:eastAsia="方正仿宋简体" w:cs="Times New Roman"/>
          <w:b/>
          <w:bCs/>
          <w:kern w:val="2"/>
          <w:sz w:val="32"/>
          <w:szCs w:val="32"/>
          <w:lang w:val="en-US" w:eastAsia="zh-CN" w:bidi="ar-SA"/>
        </w:rPr>
        <w:t>政府县级领导和政府办所有工作人员进行法治培训，推动领导干部和各科室负责人带头遵守法律法规。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outlineLvl w:val="2"/>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pPr>
      <w:r>
        <w:rPr>
          <w:rFonts w:hint="default" w:ascii="Times New Roman" w:hAnsi="Times New Roman" w:eastAsia="方正黑体简体" w:cs="Times New Roman"/>
          <w:b/>
          <w:bCs/>
          <w:snapToGrid w:val="0"/>
          <w:color w:val="000000" w:themeColor="text1"/>
          <w:kern w:val="0"/>
          <w:sz w:val="32"/>
          <w:szCs w:val="22"/>
          <w:lang w:val="en-US" w:eastAsia="zh-CN"/>
          <w14:textFill>
            <w14:solidFill>
              <w14:schemeClr w14:val="tx1"/>
            </w14:solidFill>
          </w14:textFill>
        </w:rPr>
        <w:t>四、下步工作打算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（一）加强思想政治建设。</w:t>
      </w:r>
      <w:r>
        <w:rPr>
          <w:rFonts w:hint="default" w:ascii="Times New Roman" w:hAnsi="Times New Roman" w:eastAsia="方正仿宋简体" w:cs="Times New Roman"/>
          <w:b/>
          <w:bCs/>
          <w:kern w:val="2"/>
          <w:sz w:val="32"/>
          <w:szCs w:val="32"/>
          <w:lang w:val="en-US" w:eastAsia="zh-CN" w:bidi="ar-SA"/>
        </w:rPr>
        <w:t>坚持把学习宣传贯彻党的二十大和二十届二中、三中全会精神作为当前和今后一个时期首要政治任务，准确把握党中央对依法行政的新部署新要求，深入</w:t>
      </w:r>
      <w:r>
        <w:rPr>
          <w:rFonts w:hint="eastAsia" w:ascii="Times New Roman" w:hAnsi="Times New Roman" w:eastAsia="方正仿宋简体" w:cs="Times New Roman"/>
          <w:b/>
          <w:bCs/>
          <w:kern w:val="2"/>
          <w:sz w:val="32"/>
          <w:szCs w:val="32"/>
          <w:lang w:val="en-US" w:eastAsia="zh-CN" w:bidi="ar-SA"/>
        </w:rPr>
        <w:t>学习</w:t>
      </w:r>
      <w:r>
        <w:rPr>
          <w:rFonts w:hint="default" w:ascii="Times New Roman" w:hAnsi="Times New Roman" w:eastAsia="方正仿宋简体" w:cs="Times New Roman"/>
          <w:b/>
          <w:bCs/>
          <w:kern w:val="2"/>
          <w:sz w:val="32"/>
          <w:szCs w:val="32"/>
          <w:lang w:val="en-US" w:eastAsia="zh-CN" w:bidi="ar-SA"/>
        </w:rPr>
        <w:t>贯彻习近平法治思想，自觉运用法治思维、法治方式和法治手段履行政府职能，自觉做到依法行政、依法办事。</w:t>
      </w:r>
    </w:p>
    <w:p>
      <w:pPr>
        <w:pStyle w:val="14"/>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（二）推进责任落地落实。</w:t>
      </w:r>
      <w:r>
        <w:rPr>
          <w:rFonts w:hint="default" w:ascii="Times New Roman" w:hAnsi="Times New Roman" w:eastAsia="方正仿宋简体" w:cs="Times New Roman"/>
          <w:b/>
          <w:bCs/>
          <w:kern w:val="2"/>
          <w:sz w:val="32"/>
          <w:szCs w:val="32"/>
          <w:lang w:val="en-US" w:eastAsia="zh-CN" w:bidi="ar-SA"/>
        </w:rPr>
        <w:t>进一步建立健全协同顺畅高效的工作体制机制，严格落实党政主要负责人履行推进法治政府建设第一责任人职责，紧盯年度重点目标任务，层层传导压力，拧紧责任链条。认真推进法治政府建设工作督察和法治建设绩效考核，倒逼责任落实到位。</w:t>
      </w:r>
    </w:p>
    <w:p>
      <w:pPr>
        <w:pStyle w:val="14"/>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（三）健全行政决策机制。</w:t>
      </w:r>
      <w:r>
        <w:rPr>
          <w:rFonts w:hint="default" w:ascii="Times New Roman" w:hAnsi="Times New Roman" w:eastAsia="方正仿宋简体" w:cs="Times New Roman"/>
          <w:b/>
          <w:bCs/>
          <w:kern w:val="2"/>
          <w:sz w:val="32"/>
          <w:szCs w:val="32"/>
          <w:lang w:val="en-US" w:eastAsia="zh-CN" w:bidi="ar-SA"/>
        </w:rPr>
        <w:t>从严落实重大决策责任，坚持履行重大决策法定程序，严格落实规范性文件制定审查备案制度，强化合法性审查，着力提升依法科学民主决策水平。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楷体简体" w:cs="Times New Roman"/>
          <w:b/>
          <w:bCs/>
          <w:snapToGrid w:val="0"/>
          <w:color w:val="000000" w:themeColor="text1"/>
          <w:kern w:val="0"/>
          <w:sz w:val="32"/>
          <w:szCs w:val="22"/>
          <w:lang w:val="en-US" w:eastAsia="zh-CN" w:bidi="ar-SA"/>
          <w14:textFill>
            <w14:solidFill>
              <w14:schemeClr w14:val="tx1"/>
            </w14:solidFill>
          </w14:textFill>
        </w:rPr>
        <w:t>（四）强化法治宣传教育。</w:t>
      </w:r>
      <w:r>
        <w:rPr>
          <w:rFonts w:hint="default" w:ascii="Times New Roman" w:hAnsi="Times New Roman" w:eastAsia="方正仿宋简体" w:cs="Times New Roman"/>
          <w:b/>
          <w:bCs/>
          <w:kern w:val="2"/>
          <w:sz w:val="32"/>
          <w:szCs w:val="32"/>
          <w:lang w:val="en-US" w:eastAsia="zh-CN" w:bidi="ar-SA"/>
        </w:rPr>
        <w:t>强化学法守法用法意识，结合周一晨会、“三会一课”、“主题党日”等活动开展法治宣传和学习，通过以案说法、以案释法的形式，增强普法教育的趣味性和渗透性，提高普法宣传的覆盖面和影响力。不断创新普法形式，加强县政府门户</w:t>
      </w:r>
      <w:r>
        <w:rPr>
          <w:rFonts w:hint="eastAsia" w:ascii="Times New Roman" w:hAnsi="Times New Roman" w:eastAsia="方正仿宋简体" w:cs="Times New Roman"/>
          <w:b/>
          <w:bCs/>
          <w:kern w:val="2"/>
          <w:sz w:val="32"/>
          <w:szCs w:val="32"/>
          <w:lang w:val="en-US" w:eastAsia="zh-CN" w:bidi="ar-SA"/>
        </w:rPr>
        <w:t>网站</w:t>
      </w:r>
      <w:r>
        <w:rPr>
          <w:rFonts w:hint="default" w:ascii="Times New Roman" w:hAnsi="Times New Roman" w:eastAsia="方正仿宋简体" w:cs="Times New Roman"/>
          <w:b/>
          <w:bCs/>
          <w:kern w:val="2"/>
          <w:sz w:val="32"/>
          <w:szCs w:val="32"/>
          <w:lang w:val="en-US" w:eastAsia="zh-CN" w:bidi="ar-SA"/>
        </w:rPr>
        <w:t>时事政策和规范性文件解读，运用新媒体新技术加强法治宣传。</w:t>
      </w:r>
    </w:p>
    <w:p>
      <w:pPr>
        <w:pStyle w:val="14"/>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cs="Times New Roman"/>
          <w:lang w:val="en-US" w:eastAsia="zh-CN"/>
        </w:rPr>
      </w:pPr>
    </w:p>
    <w:p>
      <w:pPr>
        <w:pStyle w:val="14"/>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center"/>
        <w:textAlignment w:val="auto"/>
        <w:rPr>
          <w:rFonts w:hint="default" w:ascii="Times New Roman" w:hAnsi="Times New Roman" w:eastAsia="方正仿宋简体" w:cs="Times New Roman"/>
          <w:b/>
          <w:bCs/>
          <w:sz w:val="32"/>
          <w:szCs w:val="32"/>
          <w:lang w:val="en-US"/>
        </w:rPr>
      </w:pPr>
      <w:r>
        <w:rPr>
          <w:rFonts w:hint="default" w:ascii="Times New Roman" w:hAnsi="Times New Roman" w:eastAsia="方正仿宋简体" w:cs="Times New Roman"/>
          <w:b/>
          <w:bCs/>
          <w:sz w:val="32"/>
          <w:szCs w:val="32"/>
          <w:lang w:val="en-US" w:eastAsia="zh-CN"/>
        </w:rPr>
        <w:t xml:space="preserve">                    梁山县人民政府办公室  </w:t>
      </w:r>
    </w:p>
    <w:p>
      <w:pPr>
        <w:keepNext w:val="0"/>
        <w:keepLines w:val="0"/>
        <w:pageBreakBefore w:val="0"/>
        <w:widowControl w:val="0"/>
        <w:kinsoku/>
        <w:wordWrap/>
        <w:overflowPunct/>
        <w:topLinePunct w:val="0"/>
        <w:autoSpaceDE/>
        <w:autoSpaceDN/>
        <w:bidi w:val="0"/>
        <w:adjustRightInd/>
        <w:snapToGrid/>
        <w:spacing w:line="560" w:lineRule="exact"/>
        <w:ind w:right="560" w:firstLine="642" w:firstLineChars="200"/>
        <w:jc w:val="center"/>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2024年12月18日 </w:t>
      </w:r>
      <w:r>
        <w:rPr>
          <w:rFonts w:hint="eastAsia" w:ascii="Times New Roman" w:hAnsi="Times New Roman" w:eastAsia="方正仿宋简体" w:cs="Times New Roman"/>
          <w:b/>
          <w:bCs/>
          <w:sz w:val="32"/>
          <w:szCs w:val="32"/>
          <w:lang w:val="en-US" w:eastAsia="zh-CN"/>
        </w:rPr>
        <w:t xml:space="preserve">  </w:t>
      </w: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32"/>
          <w:szCs w:val="32"/>
          <w:lang w:eastAsia="zh-CN"/>
        </w:rPr>
      </w:pPr>
    </w:p>
    <w:p>
      <w:pPr>
        <w:pStyle w:val="15"/>
        <w:rPr>
          <w:rFonts w:hint="default" w:ascii="Times New Roman" w:hAnsi="Times New Roman" w:eastAsia="仿宋_GB2312" w:cs="Times New Roman"/>
          <w:b/>
          <w:bCs/>
          <w:sz w:val="32"/>
          <w:szCs w:val="32"/>
          <w:lang w:eastAsia="zh-CN"/>
        </w:rPr>
      </w:pPr>
    </w:p>
    <w:p>
      <w:pPr>
        <w:spacing w:line="560" w:lineRule="exact"/>
        <w:ind w:left="0" w:leftChars="0" w:firstLine="281" w:firstLineChars="100"/>
        <w:rPr>
          <w:rFonts w:hint="default" w:ascii="Times New Roman" w:hAnsi="Times New Roman" w:eastAsia="方正仿宋简体" w:cs="Times New Roman"/>
          <w:b/>
          <w:bCs/>
          <w:color w:val="auto"/>
          <w:kern w:val="0"/>
          <w:sz w:val="28"/>
          <w:szCs w:val="28"/>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12065</wp:posOffset>
                </wp:positionV>
                <wp:extent cx="557974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pt;margin-top:0.95pt;height:0pt;width:439.35pt;z-index:251658240;mso-width-relative:page;mso-height-relative:page;" filled="f" stroked="t" coordsize="21600,21600" o:gfxdata="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GJkreDTAAAABgEAAA8AAAAAAAAAAQAgAAAAOAAAAGRycy9kb3ducmV2LnhtbFBLAQIU&#10;ABQAAAAIAIdO4kCo1twx4gEAAKcDAAAOAAAAAAAAAAEAIAAAADgBAABkcnMvZTJvRG9jLnhtbFBL&#10;BQYAAAAABgAGAFkBAACMBQAAAAA=&#10;">
                <v:path arrowok="t"/>
                <v:fill on="f" focussize="0,0"/>
                <v:stroke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eastAsia="zh-CN"/>
        </w:rPr>
        <w:t>抄送</w:t>
      </w:r>
      <w:r>
        <w:rPr>
          <w:rFonts w:hint="default" w:ascii="Times New Roman" w:hAnsi="Times New Roman" w:eastAsia="方正仿宋简体" w:cs="Times New Roman"/>
          <w:b/>
          <w:bCs/>
          <w:color w:val="auto"/>
          <w:sz w:val="28"/>
          <w:szCs w:val="28"/>
        </w:rPr>
        <w:t>：县委依法治县委员会办公室</w:t>
      </w:r>
    </w:p>
    <w:p>
      <w:pPr>
        <w:ind w:firstLine="281" w:firstLineChars="100"/>
        <w:rPr>
          <w:rFonts w:hint="default" w:ascii="Times New Roman" w:hAnsi="Times New Roman" w:eastAsia="方正仿宋简体" w:cs="Times New Roman"/>
          <w:b/>
          <w:bCs w:val="0"/>
          <w:sz w:val="32"/>
          <w:szCs w:val="32"/>
          <w:lang w:val="en-US" w:eastAsia="zh-CN"/>
        </w:rPr>
      </w:pP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412115</wp:posOffset>
                </wp:positionV>
                <wp:extent cx="557974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pt;margin-top:32.45pt;height:0pt;width:439.35pt;z-index:251659264;mso-width-relative:page;mso-height-relative:page;" filled="f" stroked="t" coordsize="21600,21600" o:gfxdata="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7NhTUAAAABwEAAA8AAAAAAAAAAQAgAAAAOAAAAGRycy9kb3ducmV2LnhtbFBLAQIU&#10;ABQAAAAIAIdO4kBe/dQx4QEAAKcDAAAOAAAAAAAAAAEAIAAAADkBAABkcnMvZTJvRG9jLnhtbFBL&#10;BQYAAAAABgAGAFkBAACMBQAAAAA=&#10;">
                <v:path arrowok="t"/>
                <v:fill on="f" focussize="0,0"/>
                <v:stroke joinstyle="round"/>
                <v:imagedata o:title=""/>
                <o:lock v:ext="edit" aspectratio="f"/>
              </v:line>
            </w:pict>
          </mc:Fallback>
        </mc:AlternateContent>
      </w:r>
      <w:r>
        <w:rPr>
          <w:rFonts w:hint="default" w:ascii="Times New Roman" w:hAnsi="Times New Roman" w:eastAsia="方正仿宋简体" w:cs="Times New Roman"/>
          <w:b/>
          <w:bCs/>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28575</wp:posOffset>
                </wp:positionV>
                <wp:extent cx="557974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7974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75pt;margin-top:2.25pt;height:0pt;width:439.35pt;z-index:251660288;mso-width-relative:page;mso-height-relative:page;" filled="f" stroked="t" coordsize="21600,21600" o:gfxdata="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7cBc80gAAAAUBAAAPAAAAAAAAAAEAIAAAADgAAABkcnMvZG93bnJldi54bWxQSwECFAAU&#10;AAAACACHTuJAsqrEMeEBAACnAwAADgAAAAAAAAABACAAAAA3AQAAZHJzL2Uyb0RvYy54bWxQSwUG&#10;AAAAAAYABgBZAQAAigUAAAAA&#10;">
                <v:path arrowok="t"/>
                <v:fill on="f" focussize="0,0"/>
                <v:stroke joinstyle="round"/>
                <v:imagedata o:title=""/>
                <o:lock v:ext="edit" aspectratio="f"/>
              </v:line>
            </w:pict>
          </mc:Fallback>
        </mc:AlternateContent>
      </w:r>
      <w:r>
        <w:rPr>
          <w:rFonts w:hint="default" w:ascii="Times New Roman" w:hAnsi="Times New Roman" w:eastAsia="方正仿宋简体" w:cs="Times New Roman"/>
          <w:b/>
          <w:bCs/>
          <w:color w:val="auto"/>
          <w:sz w:val="28"/>
          <w:szCs w:val="28"/>
          <w:lang w:eastAsia="zh-CN"/>
        </w:rPr>
        <w:t>梁山县人民政府办公室</w:t>
      </w:r>
      <w:r>
        <w:rPr>
          <w:rFonts w:hint="default" w:ascii="Times New Roman" w:hAnsi="Times New Roman" w:eastAsia="方正仿宋简体" w:cs="Times New Roman"/>
          <w:b/>
          <w:bCs/>
          <w:color w:val="auto"/>
          <w:kern w:val="0"/>
          <w:sz w:val="28"/>
          <w:szCs w:val="28"/>
          <w:lang w:val="en-US" w:eastAsia="zh-CN"/>
        </w:rPr>
        <w:t xml:space="preserve"> </w:t>
      </w:r>
      <w:r>
        <w:rPr>
          <w:rFonts w:hint="default" w:ascii="Times New Roman" w:hAnsi="Times New Roman" w:eastAsia="方正仿宋简体" w:cs="Times New Roman"/>
          <w:b/>
          <w:bCs/>
          <w:color w:val="auto"/>
          <w:kern w:val="36"/>
          <w:sz w:val="28"/>
          <w:szCs w:val="28"/>
        </w:rPr>
        <w:t xml:space="preserve">       </w:t>
      </w:r>
      <w:r>
        <w:rPr>
          <w:rFonts w:hint="default" w:ascii="Times New Roman" w:hAnsi="Times New Roman" w:eastAsia="方正仿宋简体" w:cs="Times New Roman"/>
          <w:b/>
          <w:bCs/>
          <w:color w:val="auto"/>
          <w:kern w:val="36"/>
          <w:sz w:val="28"/>
          <w:szCs w:val="28"/>
          <w:lang w:val="en-US" w:eastAsia="zh-CN"/>
        </w:rPr>
        <w:t xml:space="preserve">          202</w:t>
      </w:r>
      <w:r>
        <w:rPr>
          <w:rFonts w:hint="eastAsia" w:ascii="Times New Roman" w:hAnsi="Times New Roman" w:eastAsia="方正仿宋简体" w:cs="Times New Roman"/>
          <w:b/>
          <w:bCs/>
          <w:color w:val="auto"/>
          <w:kern w:val="36"/>
          <w:sz w:val="28"/>
          <w:szCs w:val="28"/>
          <w:lang w:val="en-US" w:eastAsia="zh-CN"/>
        </w:rPr>
        <w:t>4</w:t>
      </w:r>
      <w:r>
        <w:rPr>
          <w:rFonts w:hint="default" w:ascii="Times New Roman" w:hAnsi="Times New Roman" w:eastAsia="方正仿宋简体" w:cs="Times New Roman"/>
          <w:b/>
          <w:bCs/>
          <w:color w:val="auto"/>
          <w:kern w:val="36"/>
          <w:sz w:val="28"/>
          <w:szCs w:val="28"/>
          <w:lang w:val="en-US" w:eastAsia="zh-CN"/>
        </w:rPr>
        <w:t>年1</w:t>
      </w:r>
      <w:r>
        <w:rPr>
          <w:rFonts w:hint="eastAsia" w:ascii="Times New Roman" w:hAnsi="Times New Roman" w:eastAsia="方正仿宋简体" w:cs="Times New Roman"/>
          <w:b/>
          <w:bCs/>
          <w:color w:val="auto"/>
          <w:kern w:val="36"/>
          <w:sz w:val="28"/>
          <w:szCs w:val="28"/>
          <w:lang w:val="en-US" w:eastAsia="zh-CN"/>
        </w:rPr>
        <w:t>2</w:t>
      </w:r>
      <w:r>
        <w:rPr>
          <w:rFonts w:hint="default" w:ascii="Times New Roman" w:hAnsi="Times New Roman" w:eastAsia="方正仿宋简体" w:cs="Times New Roman"/>
          <w:b/>
          <w:bCs/>
          <w:color w:val="auto"/>
          <w:kern w:val="36"/>
          <w:sz w:val="28"/>
          <w:szCs w:val="28"/>
          <w:lang w:val="en-US" w:eastAsia="zh-CN"/>
        </w:rPr>
        <w:t>月</w:t>
      </w:r>
      <w:r>
        <w:rPr>
          <w:rFonts w:hint="eastAsia" w:ascii="Times New Roman" w:hAnsi="Times New Roman" w:eastAsia="方正仿宋简体" w:cs="Times New Roman"/>
          <w:b/>
          <w:bCs/>
          <w:color w:val="auto"/>
          <w:kern w:val="36"/>
          <w:sz w:val="28"/>
          <w:szCs w:val="28"/>
          <w:lang w:val="en-US" w:eastAsia="zh-CN"/>
        </w:rPr>
        <w:t>18</w:t>
      </w:r>
      <w:r>
        <w:rPr>
          <w:rFonts w:hint="default" w:ascii="Times New Roman" w:hAnsi="Times New Roman" w:eastAsia="方正仿宋简体" w:cs="Times New Roman"/>
          <w:b/>
          <w:bCs/>
          <w:color w:val="auto"/>
          <w:kern w:val="36"/>
          <w:sz w:val="28"/>
          <w:szCs w:val="28"/>
          <w:lang w:val="en-US" w:eastAsia="zh-CN"/>
        </w:rPr>
        <w:t>日印发</w:t>
      </w:r>
    </w:p>
    <w:sectPr>
      <w:footerReference r:id="rId3" w:type="default"/>
      <w:pgSz w:w="11906" w:h="16838"/>
      <w:pgMar w:top="1928" w:right="1531" w:bottom="1474" w:left="1587" w:header="0" w:footer="147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rebuchet MS">
    <w:altName w:val="Times New Roman"/>
    <w:panose1 w:val="020B0603020202020204"/>
    <w:charset w:val="00"/>
    <w:family w:val="swiss"/>
    <w:pitch w:val="default"/>
    <w:sig w:usb0="00000000" w:usb1="00000000" w:usb2="00000000" w:usb3="00000000" w:csb0="2000009F" w:csb1="00000000"/>
  </w:font>
  <w:font w:name="ヒラギノ角ゴ Pro W3">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sz w:val="36"/>
                              <w:szCs w:val="36"/>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sz w:val="36"/>
                        <w:szCs w:val="36"/>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2OWZhNzk0NjE0YjIyYWU0NGVmMjZhMzJhNGNjZGUifQ=="/>
  </w:docVars>
  <w:rsids>
    <w:rsidRoot w:val="00000000"/>
    <w:rsid w:val="04954507"/>
    <w:rsid w:val="052C4CAE"/>
    <w:rsid w:val="054E573C"/>
    <w:rsid w:val="057714C9"/>
    <w:rsid w:val="06231264"/>
    <w:rsid w:val="07FAC3D5"/>
    <w:rsid w:val="0A2E7A2E"/>
    <w:rsid w:val="0B9A21F6"/>
    <w:rsid w:val="0BFE15A2"/>
    <w:rsid w:val="0DB45239"/>
    <w:rsid w:val="11155BD7"/>
    <w:rsid w:val="112B4198"/>
    <w:rsid w:val="11604EC3"/>
    <w:rsid w:val="11D93833"/>
    <w:rsid w:val="182A3485"/>
    <w:rsid w:val="1B59224C"/>
    <w:rsid w:val="1BBC0FD0"/>
    <w:rsid w:val="1CFFA8C5"/>
    <w:rsid w:val="1E216584"/>
    <w:rsid w:val="2132627A"/>
    <w:rsid w:val="235C0C47"/>
    <w:rsid w:val="2A30000F"/>
    <w:rsid w:val="2DDA4579"/>
    <w:rsid w:val="2FFA25A7"/>
    <w:rsid w:val="305E6AC7"/>
    <w:rsid w:val="309E5F08"/>
    <w:rsid w:val="318C49EC"/>
    <w:rsid w:val="33DB2A74"/>
    <w:rsid w:val="35813364"/>
    <w:rsid w:val="37FF4695"/>
    <w:rsid w:val="3B751D00"/>
    <w:rsid w:val="3BFB3DCD"/>
    <w:rsid w:val="3C4D6A18"/>
    <w:rsid w:val="3C9D0337"/>
    <w:rsid w:val="3CFF3802"/>
    <w:rsid w:val="3EA33741"/>
    <w:rsid w:val="3F3FA162"/>
    <w:rsid w:val="3FA55C4F"/>
    <w:rsid w:val="3FF799EE"/>
    <w:rsid w:val="47801179"/>
    <w:rsid w:val="47D878C1"/>
    <w:rsid w:val="486958D9"/>
    <w:rsid w:val="4904755F"/>
    <w:rsid w:val="49BC60B3"/>
    <w:rsid w:val="49E31249"/>
    <w:rsid w:val="4A663DFB"/>
    <w:rsid w:val="4B7F7858"/>
    <w:rsid w:val="4C630E4A"/>
    <w:rsid w:val="4D791856"/>
    <w:rsid w:val="4E8C7BFD"/>
    <w:rsid w:val="5B2D6497"/>
    <w:rsid w:val="5C3029FD"/>
    <w:rsid w:val="5EF78D9D"/>
    <w:rsid w:val="5FDF9334"/>
    <w:rsid w:val="60E877EC"/>
    <w:rsid w:val="60F20EC6"/>
    <w:rsid w:val="63FFA13F"/>
    <w:rsid w:val="6779C6C0"/>
    <w:rsid w:val="677F117C"/>
    <w:rsid w:val="679E877F"/>
    <w:rsid w:val="67FF256A"/>
    <w:rsid w:val="696DE8DA"/>
    <w:rsid w:val="6B285B61"/>
    <w:rsid w:val="6BBF0420"/>
    <w:rsid w:val="6CB9C221"/>
    <w:rsid w:val="6D6D0D0F"/>
    <w:rsid w:val="6E296826"/>
    <w:rsid w:val="6E472BA9"/>
    <w:rsid w:val="6EF76C82"/>
    <w:rsid w:val="6EFF92EC"/>
    <w:rsid w:val="6FBB6575"/>
    <w:rsid w:val="727FAE2D"/>
    <w:rsid w:val="72C42581"/>
    <w:rsid w:val="742B1BA0"/>
    <w:rsid w:val="7455D73A"/>
    <w:rsid w:val="766F5620"/>
    <w:rsid w:val="76843D5D"/>
    <w:rsid w:val="77FD0D8A"/>
    <w:rsid w:val="77FF8437"/>
    <w:rsid w:val="78E87B15"/>
    <w:rsid w:val="7B5B2F1E"/>
    <w:rsid w:val="7B7F813C"/>
    <w:rsid w:val="7BEE8DF6"/>
    <w:rsid w:val="7BFC4B31"/>
    <w:rsid w:val="7CF10752"/>
    <w:rsid w:val="7DB72A68"/>
    <w:rsid w:val="7DDCE094"/>
    <w:rsid w:val="7EA7C92F"/>
    <w:rsid w:val="7F57918F"/>
    <w:rsid w:val="7F736FB4"/>
    <w:rsid w:val="7F7EB713"/>
    <w:rsid w:val="7F9BBDB1"/>
    <w:rsid w:val="7FD96FEC"/>
    <w:rsid w:val="7FFD4E34"/>
    <w:rsid w:val="978A5637"/>
    <w:rsid w:val="9BAF48CF"/>
    <w:rsid w:val="9DEF0BE0"/>
    <w:rsid w:val="9FF37EB9"/>
    <w:rsid w:val="ABEF6845"/>
    <w:rsid w:val="B335F731"/>
    <w:rsid w:val="BF27367D"/>
    <w:rsid w:val="BF5F2E35"/>
    <w:rsid w:val="BFF7EA17"/>
    <w:rsid w:val="CDCBD8BC"/>
    <w:rsid w:val="CDEF2B41"/>
    <w:rsid w:val="DDCCA031"/>
    <w:rsid w:val="DFAF4858"/>
    <w:rsid w:val="DFF146B9"/>
    <w:rsid w:val="E593A5AE"/>
    <w:rsid w:val="E777E1EF"/>
    <w:rsid w:val="E7FF9C2B"/>
    <w:rsid w:val="EF3D2325"/>
    <w:rsid w:val="EF7E6A54"/>
    <w:rsid w:val="EFBF7DA8"/>
    <w:rsid w:val="EFDFA020"/>
    <w:rsid w:val="F9FB1E59"/>
    <w:rsid w:val="FABAE337"/>
    <w:rsid w:val="FB4615A9"/>
    <w:rsid w:val="FDFFF2BF"/>
    <w:rsid w:val="FE76C36C"/>
    <w:rsid w:val="FEE72E34"/>
    <w:rsid w:val="FEFDE6E4"/>
    <w:rsid w:val="FFA72E16"/>
    <w:rsid w:val="FFEF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页眉1"/>
    <w:qFormat/>
    <w:uiPriority w:val="0"/>
    <w:pPr>
      <w:widowControl w:val="0"/>
      <w:tabs>
        <w:tab w:val="center" w:pos="4153"/>
        <w:tab w:val="right" w:pos="8306"/>
      </w:tabs>
      <w:jc w:val="center"/>
    </w:pPr>
    <w:rPr>
      <w:rFonts w:ascii="Trebuchet MS" w:hAnsi="Trebuchet MS" w:eastAsia="ヒラギノ角ゴ Pro W3" w:cs="Times New Roman"/>
      <w:color w:val="000000"/>
      <w:kern w:val="2"/>
      <w:sz w:val="18"/>
      <w:szCs w:val="22"/>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unhideWhenUsed/>
    <w:qFormat/>
    <w:uiPriority w:val="99"/>
    <w:pPr>
      <w:ind w:left="1600" w:leftChars="16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3"/>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正文文本缩进 21"/>
    <w:basedOn w:val="1"/>
    <w:qFormat/>
    <w:uiPriority w:val="0"/>
    <w:pPr>
      <w:ind w:firstLine="570"/>
    </w:pPr>
    <w:rPr>
      <w:sz w:val="28"/>
    </w:rPr>
  </w:style>
  <w:style w:type="paragraph" w:customStyle="1" w:styleId="15">
    <w:name w:val="正文首行缩进 21"/>
    <w:basedOn w:val="16"/>
    <w:qFormat/>
    <w:uiPriority w:val="0"/>
    <w:pPr>
      <w:widowControl w:val="0"/>
      <w:spacing w:line="500" w:lineRule="exact"/>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6">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2022-01-04T18:49:00Z</dcterms:created>
  <dc:creator>HP</dc:creator>
  <cp:lastModifiedBy>傲娇的小企鹅</cp:lastModifiedBy>
  <cp:lastPrinted>2023-02-11T10:23:00Z</cp:lastPrinted>
  <dcterms:modified xsi:type="dcterms:W3CDTF">2025-01-15T11:24:44Z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C9B3ED926A6845849AE0BBEEA65CE19B_12</vt:lpwstr>
  </property>
</Properties>
</file>