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ascii="Calibri" w:hAnsi="Calibri" w:cs="Calibri"/>
          <w:color w:val="333333"/>
          <w:sz w:val="24"/>
          <w:szCs w:val="24"/>
          <w:shd w:val="clear" w:color="auto" w:fill="auto"/>
        </w:rPr>
      </w:pPr>
      <w:r>
        <w:rPr>
          <w:rFonts w:ascii="方正小标宋简体" w:hAnsi="方正小标宋简体" w:eastAsia="方正小标宋简体" w:cs="方正小标宋简体"/>
          <w:color w:val="333333"/>
          <w:spacing w:val="0"/>
          <w:sz w:val="43"/>
          <w:szCs w:val="43"/>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default" w:ascii="Calibri" w:hAnsi="Calibri" w:cs="Calibri"/>
          <w:color w:val="333333"/>
          <w:sz w:val="24"/>
          <w:szCs w:val="24"/>
          <w:shd w:val="clear" w:color="auto" w:fill="auto"/>
        </w:rPr>
      </w:pPr>
      <w:bookmarkStart w:id="0" w:name="_GoBack"/>
      <w:r>
        <w:rPr>
          <w:rFonts w:hint="eastAsia" w:ascii="方正小标宋简体" w:hAnsi="方正小标宋简体" w:eastAsia="方正小标宋简体" w:cs="方正小标宋简体"/>
          <w:color w:val="333333"/>
          <w:spacing w:val="-15"/>
          <w:sz w:val="43"/>
          <w:szCs w:val="43"/>
          <w:shd w:val="clear" w:color="auto" w:fill="auto"/>
        </w:rPr>
        <w:t>梁山县</w:t>
      </w:r>
      <w:r>
        <w:rPr>
          <w:rFonts w:hint="eastAsia" w:ascii="方正小标宋简体" w:hAnsi="方正小标宋简体" w:eastAsia="方正小标宋简体" w:cs="方正小标宋简体"/>
          <w:color w:val="333333"/>
          <w:spacing w:val="-15"/>
          <w:sz w:val="43"/>
          <w:szCs w:val="43"/>
          <w:shd w:val="clear" w:color="auto" w:fill="auto"/>
          <w:lang w:val="en-US" w:eastAsia="zh-CN"/>
        </w:rPr>
        <w:t>馆驿</w:t>
      </w:r>
      <w:r>
        <w:rPr>
          <w:rFonts w:hint="eastAsia" w:ascii="方正小标宋简体" w:hAnsi="方正小标宋简体" w:eastAsia="方正小标宋简体" w:cs="方正小标宋简体"/>
          <w:color w:val="333333"/>
          <w:spacing w:val="-15"/>
          <w:sz w:val="43"/>
          <w:szCs w:val="43"/>
          <w:shd w:val="clear" w:color="auto" w:fill="auto"/>
        </w:rPr>
        <w:t>镇2022年政府信息公开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default" w:ascii="Calibri" w:hAnsi="Calibri" w:cs="Calibri"/>
          <w:color w:val="333333"/>
          <w:sz w:val="24"/>
          <w:szCs w:val="24"/>
          <w:shd w:val="clear" w:color="auto" w:fill="auto"/>
        </w:rPr>
      </w:pPr>
      <w:r>
        <w:rPr>
          <w:rFonts w:hint="eastAsia" w:ascii="方正小标宋简体" w:hAnsi="方正小标宋简体" w:eastAsia="方正小标宋简体" w:cs="方正小标宋简体"/>
          <w:color w:val="333333"/>
          <w:spacing w:val="-15"/>
          <w:sz w:val="43"/>
          <w:szCs w:val="43"/>
          <w:shd w:val="clear" w:color="auto" w:fill="auto"/>
        </w:rPr>
        <w:t>工作</w:t>
      </w:r>
      <w:r>
        <w:rPr>
          <w:rFonts w:hint="eastAsia" w:ascii="方正小标宋简体" w:hAnsi="方正小标宋简体" w:eastAsia="方正小标宋简体" w:cs="方正小标宋简体"/>
          <w:color w:val="333333"/>
          <w:spacing w:val="0"/>
          <w:sz w:val="43"/>
          <w:szCs w:val="43"/>
          <w:shd w:val="clear" w:color="auto" w:fill="auto"/>
        </w:rPr>
        <w:t>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default" w:ascii="Calibri" w:hAnsi="Calibri" w:cs="Calibri"/>
          <w:color w:val="333333"/>
          <w:sz w:val="24"/>
          <w:szCs w:val="24"/>
          <w:shd w:val="clear" w:color="auto" w:fill="auto"/>
        </w:rPr>
      </w:pPr>
      <w:r>
        <w:rPr>
          <w:rFonts w:hint="eastAsia" w:ascii="宋体" w:hAnsi="宋体" w:eastAsia="宋体" w:cs="宋体"/>
          <w:color w:val="333333"/>
          <w:spacing w:val="0"/>
          <w:sz w:val="24"/>
          <w:szCs w:val="24"/>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default" w:ascii="Calibri" w:hAnsi="Calibri" w:cs="Calibri"/>
          <w:color w:val="333333"/>
          <w:sz w:val="24"/>
          <w:szCs w:val="24"/>
          <w:shd w:val="clear" w:color="auto" w:fill="auto"/>
        </w:rPr>
      </w:pPr>
      <w:r>
        <w:rPr>
          <w:rStyle w:val="5"/>
          <w:rFonts w:ascii="黑体" w:hAnsi="宋体" w:eastAsia="黑体" w:cs="黑体"/>
          <w:color w:val="333333"/>
          <w:spacing w:val="0"/>
          <w:sz w:val="31"/>
          <w:szCs w:val="31"/>
          <w:shd w:val="clear" w:color="auto" w:fill="auto"/>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Fonts w:ascii="仿宋_GB2312" w:hAnsi="Calibri" w:eastAsia="仿宋_GB2312" w:cs="仿宋_GB2312"/>
          <w:color w:val="333333"/>
          <w:spacing w:val="0"/>
          <w:sz w:val="31"/>
          <w:szCs w:val="31"/>
          <w:shd w:val="clear" w:color="auto" w:fill="auto"/>
        </w:rPr>
        <w:t>2022年，</w:t>
      </w:r>
      <w:r>
        <w:rPr>
          <w:rFonts w:hint="eastAsia" w:ascii="仿宋_GB2312" w:hAnsi="Calibri" w:eastAsia="仿宋_GB2312" w:cs="仿宋_GB2312"/>
          <w:color w:val="333333"/>
          <w:spacing w:val="0"/>
          <w:sz w:val="31"/>
          <w:szCs w:val="31"/>
          <w:shd w:val="clear" w:color="auto" w:fill="auto"/>
          <w:lang w:val="en-US" w:eastAsia="zh-CN"/>
        </w:rPr>
        <w:t>馆驿</w:t>
      </w:r>
      <w:r>
        <w:rPr>
          <w:rFonts w:ascii="仿宋_GB2312" w:hAnsi="Calibri" w:eastAsia="仿宋_GB2312" w:cs="仿宋_GB2312"/>
          <w:color w:val="333333"/>
          <w:spacing w:val="0"/>
          <w:sz w:val="31"/>
          <w:szCs w:val="31"/>
          <w:shd w:val="clear" w:color="auto" w:fill="auto"/>
        </w:rPr>
        <w:t>镇人民政府在县委、县政府的正确领导和上级部门的精心指导下，认真贯彻落实各项政府信息公开制度，坚持公开为常态、不公开为例外，科学规范主动公开，推动政府信息公开工作水平稳步提升。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Style w:val="5"/>
          <w:rFonts w:hint="eastAsia" w:ascii="仿宋_GB2312" w:hAnsi="Calibri" w:eastAsia="仿宋_GB2312" w:cs="仿宋_GB2312"/>
          <w:color w:val="333333"/>
          <w:sz w:val="31"/>
          <w:szCs w:val="31"/>
          <w:shd w:val="clear" w:color="auto" w:fill="auto"/>
        </w:rPr>
        <w:t>1.主动公开方面。</w:t>
      </w:r>
      <w:r>
        <w:rPr>
          <w:rFonts w:hint="eastAsia" w:ascii="仿宋_GB2312" w:hAnsi="Calibri" w:eastAsia="仿宋_GB2312" w:cs="仿宋_GB2312"/>
          <w:color w:val="333333"/>
          <w:spacing w:val="0"/>
          <w:sz w:val="31"/>
          <w:szCs w:val="31"/>
          <w:shd w:val="clear" w:color="auto" w:fill="auto"/>
        </w:rPr>
        <w:t>2022年，</w:t>
      </w:r>
      <w:r>
        <w:rPr>
          <w:rFonts w:hint="eastAsia" w:ascii="仿宋_GB2312" w:hAnsi="Calibri" w:eastAsia="仿宋_GB2312" w:cs="仿宋_GB2312"/>
          <w:color w:val="333333"/>
          <w:spacing w:val="0"/>
          <w:sz w:val="31"/>
          <w:szCs w:val="31"/>
          <w:shd w:val="clear" w:color="auto" w:fill="auto"/>
          <w:lang w:eastAsia="zh-CN"/>
        </w:rPr>
        <w:t>馆驿</w:t>
      </w:r>
      <w:r>
        <w:rPr>
          <w:rFonts w:hint="eastAsia" w:ascii="仿宋_GB2312" w:hAnsi="Calibri" w:eastAsia="仿宋_GB2312" w:cs="仿宋_GB2312"/>
          <w:color w:val="333333"/>
          <w:spacing w:val="0"/>
          <w:sz w:val="31"/>
          <w:szCs w:val="31"/>
          <w:shd w:val="clear" w:color="auto" w:fill="auto"/>
        </w:rPr>
        <w:t>镇严格按照《中华人民共和国政府信息公开条例》规定更新信息，通过梁山县人民政府网站信息公开专栏进行分类公开</w:t>
      </w:r>
      <w:r>
        <w:rPr>
          <w:rFonts w:hint="eastAsia" w:ascii="仿宋_GB2312" w:hAnsi="Calibri" w:eastAsia="仿宋_GB2312" w:cs="仿宋_GB2312"/>
          <w:color w:val="333333"/>
          <w:spacing w:val="0"/>
          <w:sz w:val="31"/>
          <w:szCs w:val="31"/>
          <w:shd w:val="clear" w:color="auto" w:fill="auto"/>
          <w:lang w:val="en-US" w:eastAsia="zh-CN"/>
        </w:rPr>
        <w:t>9</w:t>
      </w:r>
      <w:r>
        <w:rPr>
          <w:rFonts w:hint="eastAsia" w:ascii="仿宋_GB2312" w:hAnsi="Calibri" w:eastAsia="仿宋_GB2312" w:cs="仿宋_GB2312"/>
          <w:color w:val="333333"/>
          <w:spacing w:val="0"/>
          <w:sz w:val="31"/>
          <w:szCs w:val="31"/>
          <w:shd w:val="clear" w:color="auto" w:fill="auto"/>
        </w:rPr>
        <w:t>条。其中</w:t>
      </w:r>
      <w:r>
        <w:rPr>
          <w:rFonts w:hint="eastAsia" w:ascii="仿宋_GB2312" w:hAnsi="Calibri" w:eastAsia="仿宋_GB2312" w:cs="仿宋_GB2312"/>
          <w:color w:val="333333"/>
          <w:spacing w:val="0"/>
          <w:sz w:val="31"/>
          <w:szCs w:val="31"/>
          <w:shd w:val="clear" w:color="auto" w:fill="auto"/>
          <w:lang w:eastAsia="zh-CN"/>
        </w:rPr>
        <w:t>，</w:t>
      </w:r>
      <w:r>
        <w:rPr>
          <w:rFonts w:hint="eastAsia" w:ascii="仿宋_GB2312" w:hAnsi="Calibri" w:eastAsia="仿宋_GB2312" w:cs="仿宋_GB2312"/>
          <w:color w:val="333333"/>
          <w:spacing w:val="0"/>
          <w:sz w:val="31"/>
          <w:szCs w:val="31"/>
          <w:shd w:val="clear" w:color="auto" w:fill="auto"/>
        </w:rPr>
        <w:t>机构职能1条，应急预案1条，人事信息2条</w:t>
      </w:r>
      <w:r>
        <w:rPr>
          <w:rFonts w:hint="eastAsia" w:ascii="仿宋_GB2312" w:hAnsi="Calibri" w:eastAsia="仿宋_GB2312" w:cs="仿宋_GB2312"/>
          <w:color w:val="333333"/>
          <w:spacing w:val="0"/>
          <w:sz w:val="31"/>
          <w:szCs w:val="31"/>
          <w:shd w:val="clear" w:color="auto" w:fill="auto"/>
          <w:lang w:eastAsia="zh-CN"/>
        </w:rPr>
        <w:t>，</w:t>
      </w:r>
      <w:r>
        <w:rPr>
          <w:rFonts w:hint="eastAsia" w:ascii="仿宋_GB2312" w:hAnsi="Calibri" w:eastAsia="仿宋_GB2312" w:cs="仿宋_GB2312"/>
          <w:color w:val="333333"/>
          <w:spacing w:val="0"/>
          <w:sz w:val="31"/>
          <w:szCs w:val="31"/>
          <w:shd w:val="clear" w:color="auto" w:fill="auto"/>
        </w:rPr>
        <w:t>乡镇动态</w:t>
      </w:r>
      <w:r>
        <w:rPr>
          <w:rFonts w:hint="eastAsia" w:ascii="仿宋_GB2312" w:hAnsi="Calibri" w:eastAsia="仿宋_GB2312" w:cs="仿宋_GB2312"/>
          <w:color w:val="333333"/>
          <w:spacing w:val="0"/>
          <w:sz w:val="31"/>
          <w:szCs w:val="31"/>
          <w:shd w:val="clear" w:color="auto" w:fill="auto"/>
          <w:lang w:val="en-US" w:eastAsia="zh-CN"/>
        </w:rPr>
        <w:t>5</w:t>
      </w:r>
      <w:r>
        <w:rPr>
          <w:rFonts w:hint="eastAsia" w:ascii="仿宋_GB2312" w:hAnsi="Calibri" w:eastAsia="仿宋_GB2312" w:cs="仿宋_GB2312"/>
          <w:color w:val="333333"/>
          <w:spacing w:val="0"/>
          <w:sz w:val="31"/>
          <w:szCs w:val="31"/>
          <w:shd w:val="clear" w:color="auto" w:fill="auto"/>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color w:val="333333"/>
          <w:sz w:val="21"/>
          <w:szCs w:val="21"/>
          <w:shd w:val="clear" w:color="auto" w:fill="auto"/>
        </w:rPr>
      </w:pPr>
      <w:r>
        <w:rPr>
          <w:rStyle w:val="5"/>
          <w:rFonts w:hint="eastAsia" w:ascii="仿宋_GB2312" w:hAnsi="Calibri" w:eastAsia="仿宋_GB2312" w:cs="仿宋_GB2312"/>
          <w:color w:val="333333"/>
          <w:sz w:val="31"/>
          <w:szCs w:val="31"/>
          <w:shd w:val="clear" w:color="auto" w:fill="auto"/>
        </w:rPr>
        <w:t>2.依申请公开工作方面。</w:t>
      </w:r>
      <w:r>
        <w:rPr>
          <w:rFonts w:hint="eastAsia" w:ascii="仿宋_GB2312" w:hAnsi="Calibri" w:eastAsia="仿宋_GB2312" w:cs="仿宋_GB2312"/>
          <w:color w:val="333333"/>
          <w:sz w:val="31"/>
          <w:szCs w:val="31"/>
          <w:shd w:val="clear" w:color="auto" w:fill="auto"/>
        </w:rPr>
        <w:t>2022年度我镇未收到政府信息公开申请。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Style w:val="5"/>
          <w:rFonts w:hint="eastAsia" w:ascii="仿宋_GB2312" w:hAnsi="Calibri" w:eastAsia="仿宋_GB2312" w:cs="仿宋_GB2312"/>
          <w:color w:val="333333"/>
          <w:sz w:val="31"/>
          <w:szCs w:val="31"/>
          <w:shd w:val="clear" w:color="auto" w:fill="auto"/>
        </w:rPr>
        <w:t>3.政府信息管理方面。</w:t>
      </w:r>
      <w:r>
        <w:rPr>
          <w:rFonts w:hint="eastAsia" w:ascii="仿宋_GB2312" w:hAnsi="Calibri" w:eastAsia="仿宋_GB2312" w:cs="仿宋_GB2312"/>
          <w:color w:val="333333"/>
          <w:sz w:val="31"/>
          <w:szCs w:val="31"/>
          <w:shd w:val="clear" w:color="auto" w:fill="auto"/>
        </w:rPr>
        <w:t>建立政务公开长效机制，强化政府信息公开工作的领导和管理，加大推行政务公开工作的力度。每季度认真梳理公开目录。</w:t>
      </w:r>
      <w:r>
        <w:rPr>
          <w:rFonts w:hint="eastAsia" w:ascii="仿宋_GB2312" w:hAnsi="Calibri" w:eastAsia="仿宋_GB2312" w:cs="仿宋_GB2312"/>
          <w:color w:val="333333"/>
          <w:spacing w:val="0"/>
          <w:sz w:val="31"/>
          <w:szCs w:val="31"/>
          <w:shd w:val="clear" w:color="auto" w:fill="auto"/>
        </w:rPr>
        <w:t>为保证工作顺利开展，由镇主要领导牵头，明确分管负责人调度，工作人员具体落实，确保全面推进基层政务决策公开、执行公开、管理公开、服务公开、结果公开，推动基层政务公开全覆盖，切实保障人民群众的知情权、参与权、表达权、监督权。严格执行政府信息先审核后发布机制，明确公开依据、公开内容和公开范围等，对拟公开的政府信息进行严格审查，尤其合法性、保密性审查，保障信息发布的严肃性、准确性和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Style w:val="5"/>
          <w:rFonts w:hint="eastAsia" w:ascii="仿宋_GB2312" w:hAnsi="Calibri" w:eastAsia="仿宋_GB2312" w:cs="仿宋_GB2312"/>
          <w:color w:val="333333"/>
          <w:sz w:val="31"/>
          <w:szCs w:val="31"/>
          <w:shd w:val="clear" w:color="auto" w:fill="auto"/>
        </w:rPr>
        <w:t>4.平台建设方面。</w:t>
      </w:r>
      <w:r>
        <w:rPr>
          <w:rFonts w:hint="eastAsia" w:ascii="仿宋_GB2312" w:hAnsi="Calibri" w:eastAsia="仿宋_GB2312" w:cs="仿宋_GB2312"/>
          <w:color w:val="333333"/>
          <w:spacing w:val="0"/>
          <w:sz w:val="31"/>
          <w:szCs w:val="31"/>
          <w:shd w:val="clear" w:color="auto" w:fill="auto"/>
        </w:rPr>
        <w:t>我镇坚持用现有的信息管理系统在梁山县人民政府网站公开了镇政府的机构职能、人事任命信息、公务员招考、疫情防控政策解读和其他便民服务的措施，同时积极利用政务公开专区主动公开信息，从多渠道公开我镇政府工作信息，有序推进我镇信息公开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Calibri" w:hAnsi="Calibri" w:cs="Calibri"/>
          <w:color w:val="333333"/>
          <w:sz w:val="21"/>
          <w:szCs w:val="21"/>
          <w:shd w:val="clear" w:color="auto" w:fill="auto"/>
        </w:rPr>
      </w:pPr>
      <w:r>
        <w:rPr>
          <w:rStyle w:val="5"/>
          <w:rFonts w:hint="eastAsia" w:ascii="仿宋_GB2312" w:hAnsi="Calibri" w:eastAsia="仿宋_GB2312" w:cs="仿宋_GB2312"/>
          <w:color w:val="333333"/>
          <w:sz w:val="31"/>
          <w:szCs w:val="31"/>
          <w:shd w:val="clear" w:color="auto" w:fill="auto"/>
        </w:rPr>
        <w:t>5.监督保障方面。</w:t>
      </w:r>
      <w:r>
        <w:rPr>
          <w:rFonts w:hint="eastAsia" w:ascii="仿宋_GB2312" w:hAnsi="Calibri" w:eastAsia="仿宋_GB2312" w:cs="仿宋_GB2312"/>
          <w:color w:val="333333"/>
          <w:spacing w:val="0"/>
          <w:sz w:val="31"/>
          <w:szCs w:val="31"/>
          <w:shd w:val="clear" w:color="auto" w:fill="auto"/>
        </w:rPr>
        <w:t>我镇成立政务公开领导小组，领导小组下设办公室，办公室设在党政办公室，安排专职人员负责政务公开工作，明确落实责任，进一步规范政府信息发布流程，加强信息发布前审查，强化网站信息安全管理，确保政务公开工作规范、有序、有效进行，要求各部门积极配合，确保政务信息公开发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Fonts w:hint="eastAsia" w:ascii="仿宋_GB2312" w:hAnsi="Calibri" w:eastAsia="仿宋_GB2312" w:cs="仿宋_GB2312"/>
          <w:color w:val="333333"/>
          <w:spacing w:val="0"/>
          <w:sz w:val="31"/>
          <w:szCs w:val="31"/>
          <w:shd w:val="clear" w:color="auto" w:fill="auto"/>
        </w:rPr>
        <w:t>2022年，</w:t>
      </w:r>
      <w:r>
        <w:rPr>
          <w:rFonts w:hint="eastAsia" w:ascii="仿宋_GB2312" w:hAnsi="Calibri" w:eastAsia="仿宋_GB2312" w:cs="仿宋_GB2312"/>
          <w:color w:val="333333"/>
          <w:spacing w:val="0"/>
          <w:sz w:val="31"/>
          <w:szCs w:val="31"/>
          <w:shd w:val="clear" w:color="auto" w:fill="auto"/>
          <w:lang w:eastAsia="zh-CN"/>
        </w:rPr>
        <w:t>馆驿</w:t>
      </w:r>
      <w:r>
        <w:rPr>
          <w:rFonts w:hint="eastAsia" w:ascii="仿宋_GB2312" w:hAnsi="Calibri" w:eastAsia="仿宋_GB2312" w:cs="仿宋_GB2312"/>
          <w:color w:val="333333"/>
          <w:spacing w:val="0"/>
          <w:sz w:val="31"/>
          <w:szCs w:val="31"/>
          <w:shd w:val="clear" w:color="auto" w:fill="auto"/>
        </w:rPr>
        <w:t>镇未发生重大网络安全事件，未发生因不履行政务公开义务而发生的责任追究情况。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default" w:ascii="Calibri" w:hAnsi="Calibri" w:cs="Calibri"/>
          <w:color w:val="333333"/>
          <w:sz w:val="24"/>
          <w:szCs w:val="24"/>
          <w:shd w:val="clear" w:color="auto" w:fill="auto"/>
        </w:rPr>
      </w:pPr>
      <w:r>
        <w:rPr>
          <w:rFonts w:hint="eastAsia" w:ascii="黑体" w:hAnsi="宋体" w:eastAsia="黑体" w:cs="黑体"/>
          <w:color w:val="333333"/>
          <w:spacing w:val="0"/>
          <w:sz w:val="31"/>
          <w:szCs w:val="31"/>
          <w:shd w:val="clear" w:color="auto" w:fill="auto"/>
        </w:rPr>
        <w:t>二、主动公开政府信息情况</w:t>
      </w:r>
    </w:p>
    <w:tbl>
      <w:tblPr>
        <w:tblStyle w:val="3"/>
        <w:tblW w:w="882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信息内容</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本年制发件数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本年废止件数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规章</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行政规范性文件</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行政许可</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行政处罚</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default" w:ascii="Calibri" w:hAnsi="Calibri" w:cs="Calibri"/>
                <w:color w:val="333333"/>
                <w:sz w:val="21"/>
                <w:szCs w:val="21"/>
                <w:shd w:val="clear" w:color="auto" w:fill="auto"/>
              </w:rPr>
              <w:t>　</w:t>
            </w:r>
            <w:r>
              <w:rPr>
                <w:rFonts w:hint="eastAsia" w:ascii="仿宋_GB2312" w:hAnsi="Calibri" w:eastAsia="仿宋_GB2312" w:cs="仿宋_GB2312"/>
                <w:color w:val="333333"/>
                <w:sz w:val="21"/>
                <w:szCs w:val="21"/>
                <w:shd w:val="clear" w:color="auto" w:fill="auto"/>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行政强制</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0" w:type="dxa"/>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行政事业性收费</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0"/>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pacing w:val="0"/>
          <w:sz w:val="31"/>
          <w:szCs w:val="31"/>
          <w:shd w:val="clear" w:color="auto" w:fill="auto"/>
        </w:rPr>
        <w:t>三、收到和处理政府信息公开申请情况</w:t>
      </w:r>
    </w:p>
    <w:tbl>
      <w:tblPr>
        <w:tblStyle w:val="3"/>
        <w:tblW w:w="954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0"/>
        <w:gridCol w:w="1534"/>
        <w:gridCol w:w="2531"/>
        <w:gridCol w:w="691"/>
        <w:gridCol w:w="522"/>
        <w:gridCol w:w="522"/>
        <w:gridCol w:w="667"/>
        <w:gridCol w:w="631"/>
        <w:gridCol w:w="510"/>
        <w:gridCol w:w="656"/>
        <w:gridCol w:w="6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ascii="楷体_GB2312" w:hAnsi="Calibri" w:eastAsia="楷体_GB2312" w:cs="楷体_GB2312"/>
                <w:color w:val="333333"/>
                <w:sz w:val="21"/>
                <w:szCs w:val="21"/>
                <w:shd w:val="clear" w:color="auto" w:fill="auto"/>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default" w:ascii="楷体_GB2312" w:hAnsi="Calibri" w:eastAsia="楷体_GB2312" w:cs="楷体_GB2312"/>
                <w:color w:val="333333"/>
                <w:sz w:val="21"/>
                <w:szCs w:val="21"/>
                <w:shd w:val="clear" w:color="auto" w:fill="auto"/>
              </w:rPr>
              <w:t>等于第三项加第四项之和）</w:t>
            </w:r>
          </w:p>
        </w:tc>
        <w:tc>
          <w:tcPr>
            <w:tcW w:w="4455"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75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自然人</w:t>
            </w:r>
          </w:p>
        </w:tc>
        <w:tc>
          <w:tcPr>
            <w:tcW w:w="300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法人或其他组织</w:t>
            </w:r>
          </w:p>
        </w:tc>
        <w:tc>
          <w:tcPr>
            <w:tcW w:w="70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总计</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blCellSpacing w:w="0" w:type="dxa"/>
          <w:jc w:val="center"/>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75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商业企业</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科研机构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社会公益组织</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法律服务机构</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其他</w:t>
            </w:r>
          </w:p>
        </w:tc>
        <w:tc>
          <w:tcPr>
            <w:tcW w:w="70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 w:hRule="atLeast"/>
          <w:tblCellSpacing w:w="0" w:type="dxa"/>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一、本年新收政府信息公开申请数量</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 w:hRule="atLeast"/>
          <w:tblCellSpacing w:w="0" w:type="dxa"/>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二、上年结转政府信息公开申请数量</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（一）予以公开</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（二）部分公开（区分处理的，只计这一情形，不计其他情形）</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1.属于国家秘密</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2.其他法律行政法规禁止公开</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3.危及“三安全一稳定”</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4.保护第三方合法权益</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5.属于三类内部事务信息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6.属于四类过程性信息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7.属于行政执法案卷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8.属于行政查询事项</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1.本机关不掌握相关政府信息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2.没有现成信息需要另行制作</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3.补正后申请内容仍不明确</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1.信访举报投诉类申请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2.重复申请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3.要求提供公开出版物</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4.无正当理由大量反复申请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出具已获取信息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1.申请人无正当理由逾期不补正、行政机关不再处理其政府信息公开申请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2.申请人逾期未按收费通知要求缴纳费用、行政机关不再处理其政府信息公开申请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3.其他</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（七）总计</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z w:val="21"/>
                <w:szCs w:val="21"/>
                <w:shd w:val="clear" w:color="auto" w:fill="auto"/>
              </w:rPr>
              <w:t>四、结转下年度继续办理</w:t>
            </w:r>
          </w:p>
        </w:tc>
        <w:tc>
          <w:tcPr>
            <w:tcW w:w="75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color w:val="333333"/>
                <w:sz w:val="21"/>
                <w:szCs w:val="21"/>
                <w:shd w:val="clear" w:color="auto" w:fill="auto"/>
              </w:rPr>
            </w:pPr>
            <w:r>
              <w:rPr>
                <w:rFonts w:hint="eastAsia" w:ascii="仿宋_GB2312" w:hAnsi="Calibri" w:eastAsia="仿宋_GB2312" w:cs="仿宋_GB2312"/>
                <w:color w:val="333333"/>
                <w:sz w:val="21"/>
                <w:szCs w:val="21"/>
                <w:shd w:val="clear" w:color="auto" w:fill="auto"/>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19"/>
                <w:szCs w:val="19"/>
                <w:shd w:val="clear" w:color="auto" w:fill="auto"/>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FF0000"/>
          <w:sz w:val="21"/>
          <w:szCs w:val="21"/>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both"/>
        <w:rPr>
          <w:rFonts w:hint="default" w:ascii="Calibri" w:hAnsi="Calibri" w:cs="Calibri"/>
          <w:color w:val="333333"/>
          <w:sz w:val="21"/>
          <w:szCs w:val="21"/>
          <w:shd w:val="clear" w:color="auto" w:fill="auto"/>
        </w:rPr>
      </w:pPr>
      <w:r>
        <w:rPr>
          <w:rFonts w:hint="eastAsia" w:ascii="黑体" w:hAnsi="宋体" w:eastAsia="黑体" w:cs="黑体"/>
          <w:color w:val="333333"/>
          <w:spacing w:val="0"/>
          <w:sz w:val="31"/>
          <w:szCs w:val="31"/>
          <w:shd w:val="clear" w:color="auto" w:fill="auto"/>
        </w:rPr>
        <w:t>四、政府信息公开行政复议、行政诉讼情况</w:t>
      </w:r>
    </w:p>
    <w:tbl>
      <w:tblPr>
        <w:tblStyle w:val="3"/>
        <w:tblW w:w="90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default" w:ascii="Times New Roman" w:hAnsi="Times New Roman" w:cs="Times New Roman"/>
                <w:sz w:val="19"/>
                <w:szCs w:val="19"/>
                <w:shd w:val="clear" w:color="auto" w:fill="auto"/>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Calibri" w:hAnsi="Calibri" w:cs="Calibri"/>
                <w:color w:val="333333"/>
                <w:sz w:val="21"/>
                <w:szCs w:val="21"/>
                <w:shd w:val="clear" w:color="auto" w:fill="auto"/>
              </w:rPr>
            </w:pPr>
            <w:r>
              <w:rPr>
                <w:rFonts w:hint="eastAsia" w:ascii="黑体" w:hAnsi="宋体" w:eastAsia="黑体" w:cs="黑体"/>
                <w:color w:val="333333"/>
                <w:sz w:val="19"/>
                <w:szCs w:val="19"/>
                <w:shd w:val="clear" w:color="auto" w:fill="auto"/>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both"/>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Calibri" w:hAnsi="Calibri" w:cs="Calibri"/>
                <w:color w:val="333333"/>
                <w:sz w:val="21"/>
                <w:szCs w:val="21"/>
                <w:shd w:val="clear" w:color="auto" w:fill="auto"/>
              </w:rPr>
            </w:pPr>
            <w:r>
              <w:rPr>
                <w:rFonts w:hint="default" w:ascii="Times New Roman" w:hAnsi="Times New Roman" w:eastAsia="宋体" w:cs="Times New Roman"/>
                <w:color w:val="333333"/>
                <w:sz w:val="21"/>
                <w:szCs w:val="21"/>
                <w:shd w:val="clear" w:color="auto" w:fill="auto"/>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rFonts w:hint="default" w:ascii="Calibri" w:hAnsi="Calibri" w:cs="Calibri"/>
          <w:color w:val="333333"/>
          <w:sz w:val="21"/>
          <w:szCs w:val="21"/>
          <w:shd w:val="clear" w:color="auto" w:fill="auto"/>
        </w:rPr>
      </w:pPr>
      <w:r>
        <w:rPr>
          <w:rFonts w:hint="eastAsia" w:ascii="仿宋_GB2312" w:hAnsi="Calibri" w:eastAsia="仿宋_GB2312" w:cs="仿宋_GB2312"/>
          <w:color w:val="FF0000"/>
          <w:sz w:val="21"/>
          <w:szCs w:val="21"/>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default" w:ascii="Calibri" w:hAnsi="Calibri" w:cs="Calibri"/>
          <w:color w:val="333333"/>
          <w:sz w:val="24"/>
          <w:szCs w:val="24"/>
          <w:shd w:val="clear" w:color="auto" w:fill="auto"/>
        </w:rPr>
      </w:pPr>
      <w:r>
        <w:rPr>
          <w:rFonts w:hint="eastAsia" w:ascii="黑体" w:hAnsi="宋体" w:eastAsia="黑体" w:cs="黑体"/>
          <w:color w:val="333333"/>
          <w:spacing w:val="0"/>
          <w:sz w:val="31"/>
          <w:szCs w:val="31"/>
          <w:shd w:val="clear" w:color="auto" w:fill="auto"/>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420" w:right="0"/>
        <w:jc w:val="both"/>
        <w:rPr>
          <w:rFonts w:hint="default" w:ascii="Calibri" w:hAnsi="Calibri" w:cs="Calibri"/>
          <w:color w:val="333333"/>
          <w:sz w:val="24"/>
          <w:szCs w:val="24"/>
          <w:shd w:val="clear" w:color="auto" w:fill="auto"/>
        </w:rPr>
      </w:pPr>
      <w:r>
        <w:rPr>
          <w:rStyle w:val="5"/>
          <w:rFonts w:ascii="方正楷体_GBK" w:hAnsi="方正楷体_GBK" w:eastAsia="方正楷体_GBK" w:cs="方正楷体_GBK"/>
          <w:color w:val="333333"/>
          <w:spacing w:val="0"/>
          <w:sz w:val="31"/>
          <w:szCs w:val="31"/>
          <w:shd w:val="clear" w:color="auto" w:fill="auto"/>
        </w:rPr>
        <w:t>（一）存在的问题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Fonts w:hint="eastAsia" w:ascii="仿宋_GB2312" w:hAnsi="Calibri" w:eastAsia="仿宋_GB2312" w:cs="仿宋_GB2312"/>
          <w:color w:val="333333"/>
          <w:spacing w:val="0"/>
          <w:sz w:val="31"/>
          <w:szCs w:val="31"/>
          <w:shd w:val="clear" w:color="auto" w:fill="auto"/>
        </w:rPr>
        <w:t>一是是信息公开的实效性还需要进一步加强，部分信息公开不及时，主动性不够强。二是政府信息公开在一定程度上存在重形式轻内容、重数量轻质量现象。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Style w:val="5"/>
          <w:rFonts w:hint="default" w:ascii="方正楷体_GBK" w:hAnsi="方正楷体_GBK" w:eastAsia="方正楷体_GBK" w:cs="方正楷体_GBK"/>
          <w:color w:val="333333"/>
          <w:spacing w:val="0"/>
          <w:sz w:val="31"/>
          <w:szCs w:val="31"/>
          <w:shd w:val="clear" w:color="auto" w:fill="auto"/>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645"/>
        <w:rPr>
          <w:rFonts w:hint="default" w:ascii="Calibri" w:hAnsi="Calibri" w:cs="Calibri"/>
          <w:color w:val="333333"/>
          <w:sz w:val="21"/>
          <w:szCs w:val="21"/>
          <w:shd w:val="clear" w:color="auto" w:fill="auto"/>
        </w:rPr>
      </w:pPr>
      <w:r>
        <w:rPr>
          <w:rFonts w:hint="eastAsia" w:ascii="仿宋_GB2312" w:hAnsi="Calibri" w:eastAsia="仿宋_GB2312" w:cs="仿宋_GB2312"/>
          <w:color w:val="333333"/>
          <w:spacing w:val="0"/>
          <w:sz w:val="31"/>
          <w:szCs w:val="31"/>
          <w:shd w:val="clear" w:color="auto" w:fill="auto"/>
        </w:rPr>
        <w:t>下一步，我们将针对存在的问题，努力做好以下几个方面的工作：一是拓宽信息公开渠道。在继续做好政府网站建设的基础上，深入探索利用微信、微博等新媒体平台的信息发布和运行管理机制，加大主动公开信息的工作力度，及时回应社会关切的相关问题。二是继续加大对《条例》的贯彻落实。将《条例》的贯彻落实，进一步推动政务公开工作进程，进一步提升政策解读质量，加强公开队伍建设，完善政务公开制度。三是提高业务水平。持续加强人员培训，提高工作人员政府信息公开意识和业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both"/>
        <w:rPr>
          <w:rFonts w:hint="default" w:ascii="Calibri" w:hAnsi="Calibri" w:cs="Calibri"/>
          <w:color w:val="333333"/>
          <w:sz w:val="24"/>
          <w:szCs w:val="24"/>
          <w:shd w:val="clear" w:color="auto" w:fill="auto"/>
        </w:rPr>
      </w:pPr>
      <w:r>
        <w:rPr>
          <w:rFonts w:hint="eastAsia" w:ascii="黑体" w:hAnsi="宋体" w:eastAsia="黑体" w:cs="黑体"/>
          <w:color w:val="333333"/>
          <w:spacing w:val="0"/>
          <w:sz w:val="31"/>
          <w:szCs w:val="31"/>
          <w:shd w:val="clear" w:color="auto" w:fill="auto"/>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645"/>
        <w:rPr>
          <w:rFonts w:hint="default" w:ascii="Calibri" w:hAnsi="Calibri" w:cs="Calibri"/>
          <w:color w:val="333333"/>
          <w:sz w:val="24"/>
          <w:szCs w:val="24"/>
          <w:shd w:val="clear" w:color="auto" w:fill="auto"/>
        </w:rPr>
      </w:pPr>
      <w:r>
        <w:rPr>
          <w:rFonts w:hint="eastAsia" w:ascii="仿宋_GB2312" w:hAnsi="Calibri" w:eastAsia="仿宋_GB2312" w:cs="仿宋_GB2312"/>
          <w:color w:val="333333"/>
          <w:spacing w:val="0"/>
          <w:sz w:val="31"/>
          <w:szCs w:val="31"/>
          <w:shd w:val="clear" w:color="auto" w:fill="auto"/>
        </w:rPr>
        <w:t>按照《国务院办公厅关于印发〈政府信息公开信息处理费管理办法〉的通知》（国办函〔2020〕109号）规定的按件、按量收费标准，本年度没有产生信息公开处理费。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center"/>
        <w:rPr>
          <w:rFonts w:hint="default" w:ascii="Calibri" w:hAnsi="Calibri" w:cs="Calibri"/>
          <w:color w:val="333333"/>
          <w:sz w:val="21"/>
          <w:szCs w:val="21"/>
          <w:shd w:val="clear" w:color="auto" w:fill="auto"/>
        </w:rPr>
      </w:pPr>
      <w:r>
        <w:rPr>
          <w:rFonts w:hint="eastAsia" w:ascii="宋体" w:hAnsi="宋体" w:eastAsia="宋体" w:cs="宋体"/>
          <w:color w:val="333333"/>
          <w:spacing w:val="0"/>
          <w:sz w:val="31"/>
          <w:szCs w:val="31"/>
          <w:shd w:val="clear" w:color="auto" w:fill="auto"/>
        </w:rPr>
        <w:br w:type="textWrapping"/>
      </w:r>
      <w:r>
        <w:rPr>
          <w:rFonts w:hint="eastAsia" w:ascii="宋体" w:hAnsi="宋体" w:eastAsia="宋体" w:cs="宋体"/>
          <w:color w:val="333333"/>
          <w:spacing w:val="0"/>
          <w:sz w:val="31"/>
          <w:szCs w:val="31"/>
          <w:shd w:val="clear" w:color="auto" w:fill="auto"/>
        </w:rPr>
        <w:t>                               </w:t>
      </w:r>
      <w:r>
        <w:rPr>
          <w:rFonts w:hint="eastAsia" w:ascii="仿宋_GB2312" w:hAnsi="Calibri" w:eastAsia="仿宋_GB2312" w:cs="仿宋_GB2312"/>
          <w:color w:val="333333"/>
          <w:spacing w:val="0"/>
          <w:sz w:val="31"/>
          <w:szCs w:val="31"/>
          <w:shd w:val="clear" w:color="auto" w:fill="auto"/>
          <w:lang w:eastAsia="zh-CN"/>
        </w:rPr>
        <w:t>馆驿</w:t>
      </w:r>
      <w:r>
        <w:rPr>
          <w:rFonts w:hint="eastAsia" w:ascii="仿宋_GB2312" w:hAnsi="Calibri" w:eastAsia="仿宋_GB2312" w:cs="仿宋_GB2312"/>
          <w:color w:val="333333"/>
          <w:spacing w:val="0"/>
          <w:sz w:val="31"/>
          <w:szCs w:val="31"/>
          <w:shd w:val="clear" w:color="auto" w:fill="auto"/>
        </w:rPr>
        <w:t>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center"/>
        <w:rPr>
          <w:rFonts w:hint="default" w:ascii="Calibri" w:hAnsi="Calibri" w:cs="Calibri"/>
          <w:color w:val="333333"/>
          <w:sz w:val="21"/>
          <w:szCs w:val="21"/>
          <w:shd w:val="clear" w:color="auto" w:fill="auto"/>
        </w:rPr>
      </w:pPr>
      <w:r>
        <w:rPr>
          <w:rFonts w:hint="eastAsia" w:ascii="宋体" w:hAnsi="宋体" w:eastAsia="宋体" w:cs="宋体"/>
          <w:color w:val="333333"/>
          <w:spacing w:val="0"/>
          <w:sz w:val="31"/>
          <w:szCs w:val="31"/>
          <w:shd w:val="clear" w:color="auto" w:fill="auto"/>
        </w:rPr>
        <w:t>                             </w:t>
      </w:r>
      <w:r>
        <w:rPr>
          <w:rFonts w:hint="eastAsia" w:ascii="仿宋_GB2312" w:hAnsi="Calibri" w:eastAsia="仿宋_GB2312" w:cs="仿宋_GB2312"/>
          <w:color w:val="333333"/>
          <w:spacing w:val="0"/>
          <w:sz w:val="31"/>
          <w:szCs w:val="31"/>
          <w:shd w:val="clear" w:color="auto" w:fill="auto"/>
        </w:rPr>
        <w:t>2023年</w:t>
      </w:r>
      <w:r>
        <w:rPr>
          <w:rFonts w:hint="eastAsia" w:ascii="仿宋_GB2312" w:hAnsi="Calibri" w:eastAsia="仿宋_GB2312" w:cs="仿宋_GB2312"/>
          <w:color w:val="333333"/>
          <w:spacing w:val="0"/>
          <w:sz w:val="31"/>
          <w:szCs w:val="31"/>
          <w:shd w:val="clear" w:color="auto" w:fill="auto"/>
          <w:lang w:val="en-US" w:eastAsia="zh-CN"/>
        </w:rPr>
        <w:t>2</w:t>
      </w:r>
      <w:r>
        <w:rPr>
          <w:rFonts w:hint="eastAsia" w:ascii="仿宋_GB2312" w:hAnsi="Calibri" w:eastAsia="仿宋_GB2312" w:cs="仿宋_GB2312"/>
          <w:color w:val="333333"/>
          <w:spacing w:val="0"/>
          <w:sz w:val="31"/>
          <w:szCs w:val="31"/>
          <w:shd w:val="clear" w:color="auto" w:fill="auto"/>
        </w:rPr>
        <w:t>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420" w:right="0"/>
        <w:jc w:val="both"/>
        <w:rPr>
          <w:rFonts w:hint="default" w:ascii="Calibri" w:hAnsi="Calibri" w:cs="Calibri"/>
          <w:color w:val="333333"/>
          <w:sz w:val="24"/>
          <w:szCs w:val="24"/>
          <w:shd w:val="clear" w:color="auto" w:fill="auto"/>
        </w:rPr>
      </w:pPr>
      <w:r>
        <w:rPr>
          <w:rFonts w:hint="default" w:ascii="Calibri" w:hAnsi="Calibri" w:cs="Calibri"/>
          <w:color w:val="333333"/>
          <w:sz w:val="24"/>
          <w:szCs w:val="24"/>
          <w:shd w:val="clear" w:color="auto" w:fill="auto"/>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color w:val="333333"/>
          <w:sz w:val="24"/>
          <w:szCs w:val="24"/>
          <w:shd w:val="clear" w:color="auto" w:fill="auto"/>
        </w:rPr>
      </w:pPr>
    </w:p>
    <w:p>
      <w:pPr>
        <w:rPr>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WE1NDZlYzUxZTVjNjJmYzA5YTM1ZWYzNDA1NjkifQ=="/>
  </w:docVars>
  <w:rsids>
    <w:rsidRoot w:val="00000000"/>
    <w:rsid w:val="11F40AA4"/>
    <w:rsid w:val="690C1DEB"/>
    <w:rsid w:val="6F67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2114</Words>
  <Characters>2220</Characters>
  <Lines>0</Lines>
  <Paragraphs>0</Paragraphs>
  <TotalTime>119</TotalTime>
  <ScaleCrop>false</ScaleCrop>
  <LinksUpToDate>false</LinksUpToDate>
  <CharactersWithSpaces>2226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2023-01-31T03:19:00Z</dcterms:created>
  <dc:creator>Administrator</dc:creator>
  <cp:lastModifiedBy>昭</cp:lastModifiedBy>
  <dcterms:modified xsi:type="dcterms:W3CDTF">2023-02-07T01:39:15Z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DC5B7375F9524BCAA21BAAB077CBD4CD</vt:lpwstr>
  </property>
</Properties>
</file>