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ascii="Times New Roman" w:hAnsi="Times New Roman" w:eastAsia="方正小标宋简体"/>
          <w:b/>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Times New Roman" w:hAnsi="Times New Roman" w:eastAsia="方正小标宋简体"/>
          <w:b/>
          <w:sz w:val="44"/>
          <w:szCs w:val="44"/>
        </w:rPr>
      </w:pPr>
      <w:r>
        <w:rPr>
          <w:rFonts w:hint="eastAsia" w:ascii="Times New Roman" w:hAnsi="Times New Roman" w:eastAsia="方正小标宋简体"/>
          <w:b/>
          <w:sz w:val="44"/>
          <w:szCs w:val="44"/>
        </w:rPr>
        <w:t>202</w:t>
      </w:r>
      <w:r>
        <w:rPr>
          <w:rFonts w:hint="eastAsia" w:ascii="Times New Roman" w:hAnsi="Times New Roman" w:eastAsia="方正小标宋简体"/>
          <w:b/>
          <w:sz w:val="44"/>
          <w:szCs w:val="44"/>
          <w:lang w:val="en-US" w:eastAsia="zh-CN"/>
        </w:rPr>
        <w:t>2</w:t>
      </w:r>
      <w:r>
        <w:rPr>
          <w:rFonts w:hint="eastAsia" w:ascii="Times New Roman" w:hAnsi="Times New Roman" w:eastAsia="方正小标宋简体"/>
          <w:b/>
          <w:sz w:val="44"/>
          <w:szCs w:val="44"/>
        </w:rPr>
        <w:t>年梁山县</w:t>
      </w:r>
      <w:r>
        <w:rPr>
          <w:rFonts w:ascii="Times New Roman" w:hAnsi="Times New Roman" w:eastAsia="方正小标宋简体"/>
          <w:b/>
          <w:sz w:val="44"/>
          <w:szCs w:val="44"/>
        </w:rPr>
        <w:t>国民经济和社会发展</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方正小标宋简体"/>
          <w:b/>
          <w:sz w:val="44"/>
          <w:szCs w:val="44"/>
          <w:lang w:eastAsia="zh-CN"/>
        </w:rPr>
      </w:pPr>
      <w:r>
        <w:rPr>
          <w:rFonts w:ascii="Times New Roman" w:hAnsi="Times New Roman" w:eastAsia="方正小标宋简体"/>
          <w:b/>
          <w:sz w:val="44"/>
          <w:szCs w:val="44"/>
        </w:rPr>
        <w:t>统计公报</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楷体简体" w:hAnsi="Times New Roman" w:eastAsia="方正楷体简体"/>
          <w:b/>
          <w:color w:val="auto"/>
          <w:spacing w:val="20"/>
          <w:sz w:val="32"/>
          <w:szCs w:val="32"/>
        </w:rPr>
      </w:pPr>
      <w:r>
        <w:rPr>
          <w:rFonts w:hint="eastAsia" w:ascii="方正楷体简体" w:hAnsi="Times New Roman" w:eastAsia="方正楷体简体"/>
          <w:b/>
          <w:color w:val="auto"/>
          <w:spacing w:val="20"/>
          <w:sz w:val="32"/>
          <w:szCs w:val="32"/>
        </w:rPr>
        <w:t>梁山县统计局</w:t>
      </w:r>
    </w:p>
    <w:p>
      <w:pPr>
        <w:pStyle w:val="29"/>
        <w:keepNext w:val="0"/>
        <w:keepLines w:val="0"/>
        <w:pageBreakBefore w:val="0"/>
        <w:widowControl w:val="0"/>
        <w:shd w:val="clear"/>
        <w:kinsoku/>
        <w:wordWrap/>
        <w:overflowPunct/>
        <w:topLinePunct w:val="0"/>
        <w:autoSpaceDE/>
        <w:autoSpaceDN/>
        <w:bidi w:val="0"/>
        <w:adjustRightInd w:val="0"/>
        <w:snapToGrid w:val="0"/>
        <w:spacing w:before="313" w:beforeLines="100" w:line="560" w:lineRule="exact"/>
        <w:ind w:firstLine="643"/>
        <w:textAlignment w:val="auto"/>
        <w:rPr>
          <w:rFonts w:hint="eastAsia" w:ascii="方正仿宋简体" w:hAnsi="方正仿宋简体" w:eastAsia="方正仿宋简体" w:cs="方正仿宋简体"/>
          <w:b/>
          <w:bCs w:val="0"/>
          <w:color w:val="auto"/>
          <w:kern w:val="2"/>
          <w:sz w:val="32"/>
          <w:szCs w:val="32"/>
          <w:highlight w:val="none"/>
          <w:lang w:val="en-US" w:eastAsia="zh-CN" w:bidi="ar-SA"/>
        </w:rPr>
      </w:pPr>
      <w:r>
        <w:rPr>
          <w:rFonts w:hint="eastAsia" w:ascii="方正仿宋简体" w:hAnsi="方正仿宋简体" w:eastAsia="方正仿宋简体" w:cs="方正仿宋简体"/>
          <w:b/>
          <w:bCs w:val="0"/>
          <w:color w:val="auto"/>
          <w:kern w:val="2"/>
          <w:sz w:val="32"/>
          <w:szCs w:val="32"/>
          <w:highlight w:val="none"/>
          <w:lang w:val="en-US" w:eastAsia="zh-CN" w:bidi="ar-SA"/>
        </w:rPr>
        <w:t>2022年，全县上下坚持以习近平新时代中国特色社会主义思想为指导，紧紧围绕讲政治、谋发展、惠民生、守底线</w:t>
      </w:r>
      <w:r>
        <w:rPr>
          <w:rFonts w:hint="default" w:ascii="方正仿宋简体" w:hAnsi="方正仿宋简体" w:eastAsia="方正仿宋简体" w:cs="方正仿宋简体"/>
          <w:b/>
          <w:bCs w:val="0"/>
          <w:color w:val="auto"/>
          <w:kern w:val="2"/>
          <w:sz w:val="32"/>
          <w:szCs w:val="32"/>
          <w:highlight w:val="none"/>
          <w:lang w:val="en-US" w:eastAsia="zh-CN" w:bidi="ar-SA"/>
        </w:rPr>
        <w:t>“</w:t>
      </w:r>
      <w:r>
        <w:rPr>
          <w:rFonts w:hint="eastAsia" w:ascii="方正仿宋简体" w:hAnsi="方正仿宋简体" w:eastAsia="方正仿宋简体" w:cs="方正仿宋简体"/>
          <w:b/>
          <w:bCs w:val="0"/>
          <w:color w:val="auto"/>
          <w:kern w:val="2"/>
          <w:sz w:val="32"/>
          <w:szCs w:val="32"/>
          <w:highlight w:val="none"/>
          <w:lang w:val="en-US" w:eastAsia="zh-CN" w:bidi="ar-SA"/>
        </w:rPr>
        <w:t>四个工作重心</w:t>
      </w:r>
      <w:r>
        <w:rPr>
          <w:rFonts w:hint="default" w:ascii="方正仿宋简体" w:hAnsi="方正仿宋简体" w:eastAsia="方正仿宋简体" w:cs="方正仿宋简体"/>
          <w:b/>
          <w:bCs w:val="0"/>
          <w:color w:val="auto"/>
          <w:kern w:val="2"/>
          <w:sz w:val="32"/>
          <w:szCs w:val="32"/>
          <w:highlight w:val="none"/>
          <w:lang w:val="en-US" w:eastAsia="zh-CN" w:bidi="ar-SA"/>
        </w:rPr>
        <w:t>”</w:t>
      </w:r>
      <w:r>
        <w:rPr>
          <w:rFonts w:hint="eastAsia" w:ascii="方正仿宋简体" w:hAnsi="方正仿宋简体" w:eastAsia="方正仿宋简体" w:cs="方正仿宋简体"/>
          <w:b/>
          <w:bCs w:val="0"/>
          <w:color w:val="auto"/>
          <w:kern w:val="2"/>
          <w:sz w:val="32"/>
          <w:szCs w:val="32"/>
          <w:highlight w:val="none"/>
          <w:lang w:val="en-US" w:eastAsia="zh-CN" w:bidi="ar-SA"/>
        </w:rPr>
        <w:t>，坚持“工业立县、产业富县、科技兴县、质量强县”发展战略，以实现高质量发展为主线，统筹疫情防控和经济社会发展，积极作为，抢抓机遇，全县经济发展稳进提质，城乡面貌焕然一新，生态底色更加鲜明，民生福祉持续增进，发展基础更加坚实，“经济强县、美丽梁山”建设迈出重大步伐。</w:t>
      </w:r>
    </w:p>
    <w:p>
      <w:pPr>
        <w:keepNext w:val="0"/>
        <w:keepLines w:val="0"/>
        <w:pageBreakBefore w:val="0"/>
        <w:widowControl w:val="0"/>
        <w:kinsoku/>
        <w:wordWrap/>
        <w:overflowPunct/>
        <w:topLinePunct w:val="0"/>
        <w:autoSpaceDE/>
        <w:autoSpaceDN/>
        <w:bidi w:val="0"/>
        <w:snapToGrid w:val="0"/>
        <w:spacing w:line="560" w:lineRule="exact"/>
        <w:ind w:firstLine="660"/>
        <w:textAlignment w:val="auto"/>
        <w:rPr>
          <w:rFonts w:hint="eastAsia" w:ascii="仿宋" w:hAnsi="仿宋" w:eastAsia="仿宋" w:cs="仿宋"/>
          <w:b/>
          <w:bCs w:val="0"/>
          <w:color w:val="auto"/>
          <w:kern w:val="2"/>
          <w:sz w:val="32"/>
          <w:szCs w:val="32"/>
          <w:highlight w:val="none"/>
          <w:lang w:val="en-US" w:eastAsia="zh-CN" w:bidi="ar-SA"/>
        </w:rPr>
      </w:pPr>
      <w:r>
        <w:rPr>
          <w:rFonts w:hint="eastAsia" w:ascii="方正楷体简体" w:hAnsi="Times New Roman" w:eastAsia="方正楷体简体" w:cs="Times New Roman"/>
          <w:b/>
          <w:kern w:val="2"/>
          <w:sz w:val="32"/>
          <w:szCs w:val="32"/>
          <w:highlight w:val="none"/>
          <w:lang w:val="en-US" w:eastAsia="zh-CN" w:bidi="ar-SA"/>
        </w:rPr>
        <w:t>经济总量持续增加。</w:t>
      </w:r>
      <w:r>
        <w:rPr>
          <w:rFonts w:hint="eastAsia" w:ascii="方正仿宋简体" w:hAnsi="方正仿宋简体" w:eastAsia="方正仿宋简体" w:cs="方正仿宋简体"/>
          <w:b/>
          <w:bCs w:val="0"/>
          <w:color w:val="auto"/>
          <w:kern w:val="2"/>
          <w:sz w:val="32"/>
          <w:szCs w:val="32"/>
          <w:highlight w:val="none"/>
          <w:lang w:val="en-US" w:eastAsia="zh-CN" w:bidi="ar-SA"/>
        </w:rPr>
        <w:t>据初步核算，全县实现地区生产总值286.46亿元，按可比价计算，增长3.9%。分产业看：第一产业增加值69.46亿元，增长4.5%；第二产业增加值97.72亿元，下降2.7%；第三产业增加值119.28亿元，增长8.8%。分行业看：工业增加值90.63亿元，下降0.7%；批发和零售业32.82亿元，增长9.0%；交通运输，仓储和邮政业18.56亿元，增长15.4%；住宿餐饮业4.56亿元，增长0.3%；金融业17.26亿元，增长8.7%；房地产业12.5亿元，增长1.9%。三次产业结构为24.3:34.1:41.6。</w:t>
      </w:r>
    </w:p>
    <w:p>
      <w:pPr>
        <w:pStyle w:val="4"/>
        <w:ind w:left="0" w:leftChars="0" w:firstLine="0" w:firstLineChars="0"/>
        <w:rPr>
          <w:rFonts w:hint="eastAsia"/>
          <w:lang w:val="en-US" w:eastAsia="zh-CN"/>
        </w:rPr>
      </w:pPr>
      <w:r>
        <w:drawing>
          <wp:inline distT="0" distB="0" distL="114300" distR="114300">
            <wp:extent cx="5543550" cy="3184525"/>
            <wp:effectExtent l="5080" t="4445" r="13970" b="11430"/>
            <wp:docPr id="221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3" w:firstLineChars="200"/>
        <w:textAlignment w:val="auto"/>
        <w:rPr>
          <w:rFonts w:hint="default" w:ascii="方正仿宋简体" w:hAnsi="Times New Roman" w:eastAsia="方正仿宋简体" w:cs="Times New Roman"/>
          <w:b/>
          <w:bCs w:val="0"/>
          <w:color w:val="auto"/>
          <w:kern w:val="2"/>
          <w:sz w:val="32"/>
          <w:szCs w:val="32"/>
          <w:highlight w:val="none"/>
          <w:lang w:val="en-US" w:eastAsia="zh-CN" w:bidi="ar-SA"/>
        </w:rPr>
      </w:pPr>
      <w:r>
        <w:rPr>
          <w:rFonts w:hint="eastAsia" w:ascii="方正楷体简体" w:hAnsi="Times New Roman" w:eastAsia="方正楷体简体" w:cs="Times New Roman"/>
          <w:b/>
          <w:kern w:val="2"/>
          <w:sz w:val="32"/>
          <w:szCs w:val="32"/>
          <w:highlight w:val="none"/>
          <w:lang w:val="en-US" w:eastAsia="zh-CN" w:bidi="ar-SA"/>
        </w:rPr>
        <w:t>市场活力持续释放。</w:t>
      </w:r>
      <w:r>
        <w:rPr>
          <w:rFonts w:hint="eastAsia" w:ascii="方正仿宋简体" w:hAnsi="方正仿宋简体" w:eastAsia="方正仿宋简体" w:cs="方正仿宋简体"/>
          <w:b/>
          <w:bCs w:val="0"/>
          <w:color w:val="auto"/>
          <w:kern w:val="2"/>
          <w:sz w:val="32"/>
          <w:szCs w:val="32"/>
          <w:highlight w:val="none"/>
          <w:lang w:val="en-US" w:eastAsia="zh-CN" w:bidi="ar-SA"/>
        </w:rPr>
        <w:t>全县市场主体总量达84081户、同比增长10.1%，注册资本金1280.02亿元、同比增长9.32%。其中私营企业27829户、同比增长6.3%，个体工商户52664户、同比增长13.1%。全年新增“四上”企业140家，其中：规模以上工业企业39家，限额以上批零住餐业企业60家，规模以上服务业企业12家，资质以内建筑和房地产开发经营企业29家。</w:t>
      </w:r>
    </w:p>
    <w:p>
      <w:pPr>
        <w:tabs>
          <w:tab w:val="left" w:pos="820"/>
        </w:tabs>
        <w:snapToGrid w:val="0"/>
        <w:spacing w:line="560" w:lineRule="exact"/>
        <w:ind w:firstLine="643" w:firstLineChars="200"/>
        <w:rPr>
          <w:rFonts w:hint="eastAsia" w:ascii="方正仿宋简体" w:hAnsi="方正仿宋简体" w:eastAsia="方正仿宋简体" w:cs="方正仿宋简体"/>
          <w:b/>
          <w:bCs w:val="0"/>
          <w:color w:val="auto"/>
          <w:kern w:val="2"/>
          <w:sz w:val="32"/>
          <w:szCs w:val="32"/>
          <w:highlight w:val="none"/>
          <w:lang w:val="en-US" w:eastAsia="zh-CN" w:bidi="ar-SA"/>
        </w:rPr>
      </w:pPr>
      <w:r>
        <w:rPr>
          <w:rFonts w:hint="eastAsia" w:ascii="方正楷体简体" w:hAnsi="Times New Roman" w:eastAsia="方正楷体简体"/>
          <w:b/>
          <w:sz w:val="32"/>
          <w:szCs w:val="32"/>
          <w:highlight w:val="none"/>
        </w:rPr>
        <w:t>新旧动能加快转换。</w:t>
      </w:r>
      <w:r>
        <w:rPr>
          <w:rFonts w:hint="eastAsia" w:ascii="方正仿宋简体" w:hAnsi="方正仿宋简体" w:eastAsia="方正仿宋简体" w:cs="方正仿宋简体"/>
          <w:b/>
          <w:bCs w:val="0"/>
          <w:color w:val="auto"/>
          <w:kern w:val="2"/>
          <w:sz w:val="32"/>
          <w:szCs w:val="32"/>
          <w:highlight w:val="none"/>
          <w:lang w:val="en-US" w:eastAsia="zh-CN" w:bidi="ar-SA"/>
        </w:rPr>
        <w:t>全县高技术投资同比增长50.9%。全县实现规模以上工业营业收入226.28亿元，同比下降7.7%；利润1.38亿元，同比下降73.5%。规模以上工业企业资产负债率59.5%，同比增长7.1个百分点；每百元营业收入中的成本92.07元,同比增加0.39元；营业收入利润率0.6%。</w:t>
      </w:r>
    </w:p>
    <w:p>
      <w:pPr>
        <w:tabs>
          <w:tab w:val="left" w:pos="820"/>
        </w:tabs>
        <w:snapToGrid w:val="0"/>
        <w:spacing w:line="560" w:lineRule="exact"/>
        <w:ind w:firstLine="643" w:firstLineChars="200"/>
        <w:rPr>
          <w:rFonts w:hint="eastAsia" w:ascii="方正仿宋简体" w:hAnsi="Times New Roman" w:eastAsia="方正仿宋简体"/>
          <w:b/>
          <w:color w:val="auto"/>
          <w:sz w:val="32"/>
          <w:szCs w:val="32"/>
          <w:highlight w:val="none"/>
        </w:rPr>
      </w:pPr>
      <w:r>
        <w:rPr>
          <w:rFonts w:hint="eastAsia" w:ascii="方正楷体简体" w:hAnsi="Times New Roman" w:eastAsia="方正楷体简体"/>
          <w:b/>
          <w:color w:val="auto"/>
          <w:sz w:val="32"/>
          <w:szCs w:val="32"/>
          <w:highlight w:val="none"/>
        </w:rPr>
        <w:t>财政</w:t>
      </w:r>
      <w:r>
        <w:rPr>
          <w:rFonts w:hint="eastAsia" w:ascii="方正楷体简体" w:hAnsi="Times New Roman" w:eastAsia="方正楷体简体"/>
          <w:b/>
          <w:color w:val="auto"/>
          <w:sz w:val="32"/>
          <w:szCs w:val="32"/>
          <w:highlight w:val="none"/>
          <w:lang w:val="en-US" w:eastAsia="zh-CN"/>
        </w:rPr>
        <w:t>运行压力较大</w:t>
      </w:r>
      <w:r>
        <w:rPr>
          <w:rFonts w:hint="eastAsia" w:ascii="方正楷体简体" w:hAnsi="Times New Roman" w:eastAsia="方正楷体简体"/>
          <w:b/>
          <w:color w:val="auto"/>
          <w:sz w:val="32"/>
          <w:szCs w:val="32"/>
          <w:highlight w:val="none"/>
        </w:rPr>
        <w:t>。</w:t>
      </w:r>
      <w:r>
        <w:rPr>
          <w:rFonts w:hint="eastAsia" w:ascii="方正仿宋简体" w:hAnsi="Times New Roman" w:eastAsia="方正仿宋简体"/>
          <w:b/>
          <w:color w:val="auto"/>
          <w:sz w:val="32"/>
          <w:szCs w:val="32"/>
          <w:highlight w:val="none"/>
        </w:rPr>
        <w:t>全县一般公共预算收入完成</w:t>
      </w:r>
      <w:r>
        <w:rPr>
          <w:rFonts w:hint="eastAsia" w:ascii="方正仿宋简体" w:hAnsi="Times New Roman" w:eastAsia="方正仿宋简体"/>
          <w:b/>
          <w:color w:val="auto"/>
          <w:sz w:val="32"/>
          <w:szCs w:val="32"/>
          <w:highlight w:val="none"/>
          <w:lang w:val="en-US" w:eastAsia="zh-CN"/>
        </w:rPr>
        <w:t>16.3</w:t>
      </w:r>
      <w:r>
        <w:rPr>
          <w:rFonts w:hint="eastAsia" w:ascii="方正仿宋简体" w:hAnsi="Times New Roman" w:eastAsia="方正仿宋简体"/>
          <w:b/>
          <w:color w:val="auto"/>
          <w:sz w:val="32"/>
          <w:szCs w:val="32"/>
          <w:highlight w:val="none"/>
        </w:rPr>
        <w:t>亿元，同比</w:t>
      </w:r>
      <w:r>
        <w:rPr>
          <w:rFonts w:hint="eastAsia" w:ascii="方正仿宋简体" w:hAnsi="Times New Roman" w:eastAsia="方正仿宋简体"/>
          <w:b/>
          <w:color w:val="auto"/>
          <w:sz w:val="32"/>
          <w:szCs w:val="32"/>
          <w:highlight w:val="none"/>
          <w:lang w:val="en-US" w:eastAsia="zh-CN"/>
        </w:rPr>
        <w:t>下降25.1</w:t>
      </w:r>
      <w:r>
        <w:rPr>
          <w:rFonts w:hint="eastAsia" w:ascii="方正仿宋简体" w:hAnsi="Times New Roman" w:eastAsia="方正仿宋简体"/>
          <w:b/>
          <w:color w:val="auto"/>
          <w:sz w:val="32"/>
          <w:szCs w:val="32"/>
          <w:highlight w:val="none"/>
        </w:rPr>
        <w:t>%，其中：税收收入</w:t>
      </w:r>
      <w:r>
        <w:rPr>
          <w:rFonts w:hint="eastAsia" w:ascii="方正仿宋简体" w:hAnsi="Times New Roman" w:eastAsia="方正仿宋简体"/>
          <w:b/>
          <w:color w:val="auto"/>
          <w:sz w:val="32"/>
          <w:szCs w:val="32"/>
          <w:highlight w:val="none"/>
          <w:lang w:val="en-US" w:eastAsia="zh-CN"/>
        </w:rPr>
        <w:t>12.1</w:t>
      </w:r>
      <w:r>
        <w:rPr>
          <w:rFonts w:hint="eastAsia" w:ascii="方正仿宋简体" w:hAnsi="Times New Roman" w:eastAsia="方正仿宋简体"/>
          <w:b/>
          <w:color w:val="auto"/>
          <w:sz w:val="32"/>
          <w:szCs w:val="32"/>
          <w:highlight w:val="none"/>
        </w:rPr>
        <w:t>亿元，</w:t>
      </w:r>
      <w:r>
        <w:rPr>
          <w:rFonts w:hint="eastAsia" w:ascii="方正仿宋简体" w:hAnsi="Times New Roman" w:eastAsia="方正仿宋简体"/>
          <w:b/>
          <w:color w:val="auto"/>
          <w:sz w:val="32"/>
          <w:szCs w:val="32"/>
          <w:highlight w:val="none"/>
          <w:lang w:val="en-US" w:eastAsia="zh-CN"/>
        </w:rPr>
        <w:t>同比下降29.9</w:t>
      </w:r>
      <w:r>
        <w:rPr>
          <w:rFonts w:hint="eastAsia" w:ascii="方正仿宋简体" w:hAnsi="Times New Roman" w:eastAsia="方正仿宋简体"/>
          <w:b/>
          <w:color w:val="auto"/>
          <w:sz w:val="32"/>
          <w:szCs w:val="32"/>
          <w:highlight w:val="none"/>
        </w:rPr>
        <w:t>%，税收占比7</w:t>
      </w:r>
      <w:r>
        <w:rPr>
          <w:rFonts w:hint="eastAsia" w:ascii="方正仿宋简体" w:hAnsi="Times New Roman" w:eastAsia="方正仿宋简体"/>
          <w:b/>
          <w:color w:val="auto"/>
          <w:sz w:val="32"/>
          <w:szCs w:val="32"/>
          <w:highlight w:val="none"/>
          <w:lang w:val="en-US" w:eastAsia="zh-CN"/>
        </w:rPr>
        <w:t>3.9</w:t>
      </w:r>
      <w:r>
        <w:rPr>
          <w:rFonts w:hint="eastAsia" w:ascii="方正仿宋简体" w:hAnsi="Times New Roman" w:eastAsia="方正仿宋简体"/>
          <w:b/>
          <w:color w:val="auto"/>
          <w:sz w:val="32"/>
          <w:szCs w:val="32"/>
          <w:highlight w:val="none"/>
        </w:rPr>
        <w:t>%。一般公共预算支出</w:t>
      </w:r>
      <w:r>
        <w:rPr>
          <w:rFonts w:hint="eastAsia" w:ascii="方正仿宋简体" w:hAnsi="Times New Roman" w:eastAsia="方正仿宋简体"/>
          <w:b/>
          <w:color w:val="auto"/>
          <w:sz w:val="32"/>
          <w:szCs w:val="32"/>
          <w:highlight w:val="none"/>
          <w:lang w:val="en-US" w:eastAsia="zh-CN"/>
        </w:rPr>
        <w:t>48.21</w:t>
      </w:r>
      <w:r>
        <w:rPr>
          <w:rFonts w:hint="eastAsia" w:ascii="方正仿宋简体" w:hAnsi="Times New Roman" w:eastAsia="方正仿宋简体"/>
          <w:b/>
          <w:color w:val="auto"/>
          <w:sz w:val="32"/>
          <w:szCs w:val="32"/>
          <w:highlight w:val="none"/>
        </w:rPr>
        <w:t>亿元，同比增长</w:t>
      </w:r>
      <w:r>
        <w:rPr>
          <w:rFonts w:hint="eastAsia" w:ascii="方正仿宋简体" w:hAnsi="Times New Roman" w:eastAsia="方正仿宋简体"/>
          <w:b/>
          <w:color w:val="auto"/>
          <w:sz w:val="32"/>
          <w:szCs w:val="32"/>
          <w:highlight w:val="none"/>
          <w:lang w:val="en-US" w:eastAsia="zh-CN"/>
        </w:rPr>
        <w:t>17.1</w:t>
      </w:r>
      <w:r>
        <w:rPr>
          <w:rFonts w:hint="eastAsia" w:ascii="方正仿宋简体" w:hAnsi="Times New Roman" w:eastAsia="方正仿宋简体"/>
          <w:b/>
          <w:color w:val="auto"/>
          <w:sz w:val="32"/>
          <w:szCs w:val="32"/>
          <w:highlight w:val="none"/>
        </w:rPr>
        <w:t>%。金融机构本外币各项存款余额</w:t>
      </w:r>
      <w:r>
        <w:rPr>
          <w:rFonts w:hint="eastAsia" w:ascii="方正仿宋简体" w:hAnsi="Times New Roman" w:eastAsia="方正仿宋简体"/>
          <w:b/>
          <w:color w:val="auto"/>
          <w:sz w:val="32"/>
          <w:szCs w:val="32"/>
          <w:highlight w:val="none"/>
          <w:lang w:val="en-US" w:eastAsia="zh-CN"/>
        </w:rPr>
        <w:t>595.2</w:t>
      </w:r>
      <w:r>
        <w:rPr>
          <w:rFonts w:hint="eastAsia" w:ascii="方正仿宋简体" w:hAnsi="Times New Roman" w:eastAsia="方正仿宋简体"/>
          <w:b/>
          <w:color w:val="auto"/>
          <w:sz w:val="32"/>
          <w:szCs w:val="32"/>
          <w:highlight w:val="none"/>
        </w:rPr>
        <w:t>亿元，较年初增</w:t>
      </w:r>
      <w:r>
        <w:rPr>
          <w:rFonts w:hint="eastAsia" w:ascii="方正仿宋简体" w:hAnsi="Times New Roman" w:eastAsia="方正仿宋简体"/>
          <w:b/>
          <w:color w:val="auto"/>
          <w:sz w:val="32"/>
          <w:szCs w:val="32"/>
          <w:highlight w:val="none"/>
          <w:lang w:val="en-US" w:eastAsia="zh-CN"/>
        </w:rPr>
        <w:t>长15.07%</w:t>
      </w:r>
      <w:r>
        <w:rPr>
          <w:rFonts w:hint="eastAsia" w:ascii="方正仿宋简体" w:hAnsi="Times New Roman" w:eastAsia="方正仿宋简体"/>
          <w:b/>
          <w:color w:val="auto"/>
          <w:sz w:val="32"/>
          <w:szCs w:val="32"/>
          <w:highlight w:val="none"/>
        </w:rPr>
        <w:t>；</w:t>
      </w:r>
      <w:r>
        <w:rPr>
          <w:rFonts w:hint="eastAsia" w:ascii="方正仿宋简体" w:hAnsi="Times New Roman" w:eastAsia="方正仿宋简体"/>
          <w:b/>
          <w:color w:val="auto"/>
          <w:sz w:val="32"/>
          <w:szCs w:val="32"/>
          <w:highlight w:val="none"/>
          <w:lang w:eastAsia="zh-CN"/>
        </w:rPr>
        <w:t>金融机构本外币</w:t>
      </w:r>
      <w:r>
        <w:rPr>
          <w:rFonts w:hint="eastAsia" w:ascii="方正仿宋简体" w:hAnsi="Times New Roman" w:eastAsia="方正仿宋简体"/>
          <w:b/>
          <w:color w:val="auto"/>
          <w:sz w:val="32"/>
          <w:szCs w:val="32"/>
          <w:highlight w:val="none"/>
        </w:rPr>
        <w:t>贷款余额</w:t>
      </w:r>
      <w:r>
        <w:rPr>
          <w:rFonts w:hint="eastAsia" w:ascii="方正仿宋简体" w:hAnsi="Times New Roman" w:eastAsia="方正仿宋简体"/>
          <w:b/>
          <w:color w:val="auto"/>
          <w:sz w:val="32"/>
          <w:szCs w:val="32"/>
          <w:highlight w:val="none"/>
          <w:lang w:val="en-US" w:eastAsia="zh-CN"/>
        </w:rPr>
        <w:t>209.1</w:t>
      </w:r>
      <w:r>
        <w:rPr>
          <w:rFonts w:hint="eastAsia" w:ascii="方正仿宋简体" w:hAnsi="Times New Roman" w:eastAsia="方正仿宋简体"/>
          <w:b/>
          <w:color w:val="auto"/>
          <w:sz w:val="32"/>
          <w:szCs w:val="32"/>
          <w:highlight w:val="none"/>
        </w:rPr>
        <w:t>亿元，较年初增</w:t>
      </w:r>
      <w:r>
        <w:rPr>
          <w:rFonts w:hint="eastAsia" w:ascii="方正仿宋简体" w:hAnsi="Times New Roman" w:eastAsia="方正仿宋简体"/>
          <w:b/>
          <w:color w:val="auto"/>
          <w:sz w:val="32"/>
          <w:szCs w:val="32"/>
          <w:highlight w:val="none"/>
          <w:lang w:val="en-US" w:eastAsia="zh-CN"/>
        </w:rPr>
        <w:t>长11.23%</w:t>
      </w:r>
      <w:r>
        <w:rPr>
          <w:rFonts w:hint="eastAsia" w:ascii="方正仿宋简体" w:hAnsi="Times New Roman" w:eastAsia="方正仿宋简体"/>
          <w:b/>
          <w:color w:val="auto"/>
          <w:sz w:val="32"/>
          <w:szCs w:val="32"/>
          <w:highlight w:val="none"/>
        </w:rPr>
        <w:t>。</w:t>
      </w:r>
    </w:p>
    <w:p>
      <w:pPr>
        <w:pStyle w:val="4"/>
        <w:ind w:left="0" w:leftChars="0" w:firstLine="0" w:firstLineChars="0"/>
        <w:rPr>
          <w:rFonts w:hint="eastAsia"/>
          <w:highlight w:val="none"/>
        </w:rPr>
      </w:pPr>
      <w:r>
        <w:rPr>
          <w:highlight w:val="none"/>
        </w:rPr>
        <w:drawing>
          <wp:inline distT="0" distB="0" distL="114300" distR="114300">
            <wp:extent cx="5539105" cy="3256280"/>
            <wp:effectExtent l="4445" t="4445" r="19050" b="15875"/>
            <wp:docPr id="221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3"/>
        <w:spacing w:before="0" w:beforeAutospacing="0" w:after="0" w:afterAutospacing="0" w:line="560" w:lineRule="exact"/>
        <w:ind w:firstLine="640"/>
        <w:rPr>
          <w:rFonts w:hint="eastAsia" w:ascii="方正仿宋简体" w:hAnsi="Times New Roman" w:eastAsia="方正仿宋简体"/>
          <w:b/>
          <w:color w:val="auto"/>
          <w:szCs w:val="32"/>
          <w:highlight w:val="none"/>
        </w:rPr>
      </w:pPr>
      <w:r>
        <w:rPr>
          <w:rFonts w:ascii="Times New Roman" w:hAnsi="Times New Roman" w:eastAsia="方正楷体简体"/>
          <w:b/>
          <w:color w:val="auto"/>
          <w:szCs w:val="32"/>
          <w:highlight w:val="none"/>
        </w:rPr>
        <w:t>民生福祉</w:t>
      </w:r>
      <w:r>
        <w:rPr>
          <w:rFonts w:hint="eastAsia" w:ascii="Times New Roman" w:hAnsi="Times New Roman" w:eastAsia="方正楷体简体"/>
          <w:b/>
          <w:color w:val="auto"/>
          <w:szCs w:val="32"/>
          <w:highlight w:val="none"/>
          <w:lang w:val="en-US" w:eastAsia="zh-CN"/>
        </w:rPr>
        <w:t>持续增进</w:t>
      </w:r>
      <w:r>
        <w:rPr>
          <w:rFonts w:ascii="Times New Roman" w:hAnsi="Times New Roman" w:eastAsia="方正楷体简体"/>
          <w:b/>
          <w:color w:val="auto"/>
          <w:szCs w:val="32"/>
          <w:highlight w:val="none"/>
        </w:rPr>
        <w:t>。</w:t>
      </w:r>
      <w:r>
        <w:rPr>
          <w:rFonts w:hint="eastAsia" w:ascii="方正仿宋简体" w:hAnsi="Times New Roman" w:eastAsia="方正仿宋简体"/>
          <w:b/>
          <w:color w:val="auto"/>
          <w:szCs w:val="32"/>
          <w:highlight w:val="none"/>
        </w:rPr>
        <w:t>全县城乡居民人均可支配收入</w:t>
      </w:r>
      <w:r>
        <w:rPr>
          <w:rFonts w:hint="eastAsia" w:ascii="方正仿宋简体" w:hAnsi="Times New Roman" w:eastAsia="方正仿宋简体"/>
          <w:b/>
          <w:color w:val="auto"/>
          <w:szCs w:val="32"/>
          <w:highlight w:val="none"/>
          <w:lang w:val="en-US" w:eastAsia="zh-CN"/>
        </w:rPr>
        <w:t>27498</w:t>
      </w:r>
      <w:r>
        <w:rPr>
          <w:rFonts w:hint="eastAsia" w:ascii="方正仿宋简体" w:hAnsi="Times New Roman" w:eastAsia="方正仿宋简体"/>
          <w:b/>
          <w:color w:val="auto"/>
          <w:szCs w:val="32"/>
          <w:highlight w:val="none"/>
        </w:rPr>
        <w:t>元，同比增长</w:t>
      </w:r>
      <w:r>
        <w:rPr>
          <w:rFonts w:hint="eastAsia" w:ascii="方正仿宋简体" w:hAnsi="Times New Roman" w:eastAsia="方正仿宋简体"/>
          <w:b/>
          <w:color w:val="auto"/>
          <w:szCs w:val="32"/>
          <w:highlight w:val="none"/>
          <w:lang w:val="en-US" w:eastAsia="zh-CN"/>
        </w:rPr>
        <w:t>5.8</w:t>
      </w:r>
      <w:r>
        <w:rPr>
          <w:rFonts w:hint="eastAsia" w:ascii="方正仿宋简体" w:hAnsi="Times New Roman" w:eastAsia="方正仿宋简体"/>
          <w:b/>
          <w:color w:val="auto"/>
          <w:szCs w:val="32"/>
          <w:highlight w:val="none"/>
        </w:rPr>
        <w:t>%；人均消费支出16</w:t>
      </w:r>
      <w:r>
        <w:rPr>
          <w:rFonts w:hint="eastAsia" w:ascii="方正仿宋简体" w:hAnsi="Times New Roman" w:eastAsia="方正仿宋简体"/>
          <w:b/>
          <w:color w:val="auto"/>
          <w:szCs w:val="32"/>
          <w:highlight w:val="none"/>
          <w:lang w:val="en-US" w:eastAsia="zh-CN"/>
        </w:rPr>
        <w:t>199</w:t>
      </w:r>
      <w:r>
        <w:rPr>
          <w:rFonts w:hint="eastAsia" w:ascii="方正仿宋简体" w:hAnsi="Times New Roman" w:eastAsia="方正仿宋简体"/>
          <w:b/>
          <w:color w:val="auto"/>
          <w:szCs w:val="32"/>
          <w:highlight w:val="none"/>
        </w:rPr>
        <w:t>元，增长</w:t>
      </w:r>
      <w:r>
        <w:rPr>
          <w:rFonts w:hint="eastAsia" w:ascii="方正仿宋简体" w:hAnsi="Times New Roman" w:eastAsia="方正仿宋简体"/>
          <w:b/>
          <w:color w:val="auto"/>
          <w:szCs w:val="32"/>
          <w:highlight w:val="none"/>
          <w:lang w:val="en-US" w:eastAsia="zh-CN"/>
        </w:rPr>
        <w:t>1</w:t>
      </w:r>
      <w:r>
        <w:rPr>
          <w:rFonts w:hint="eastAsia" w:ascii="方正仿宋简体" w:hAnsi="Times New Roman" w:eastAsia="方正仿宋简体"/>
          <w:b/>
          <w:color w:val="auto"/>
          <w:szCs w:val="32"/>
          <w:highlight w:val="none"/>
        </w:rPr>
        <w:t>.1%。其中：城镇居民人均可支配收入3</w:t>
      </w:r>
      <w:r>
        <w:rPr>
          <w:rFonts w:hint="eastAsia" w:ascii="方正仿宋简体" w:hAnsi="Times New Roman" w:eastAsia="方正仿宋简体"/>
          <w:b/>
          <w:color w:val="auto"/>
          <w:szCs w:val="32"/>
          <w:highlight w:val="none"/>
          <w:lang w:val="en-US" w:eastAsia="zh-CN"/>
        </w:rPr>
        <w:t>7016</w:t>
      </w:r>
      <w:r>
        <w:rPr>
          <w:rFonts w:hint="eastAsia" w:ascii="方正仿宋简体" w:hAnsi="Times New Roman" w:eastAsia="方正仿宋简体"/>
          <w:b/>
          <w:color w:val="auto"/>
          <w:szCs w:val="32"/>
          <w:highlight w:val="none"/>
        </w:rPr>
        <w:t>元，同比增长</w:t>
      </w:r>
      <w:r>
        <w:rPr>
          <w:rFonts w:hint="eastAsia" w:ascii="方正仿宋简体" w:hAnsi="Times New Roman" w:eastAsia="方正仿宋简体"/>
          <w:b/>
          <w:color w:val="auto"/>
          <w:szCs w:val="32"/>
          <w:highlight w:val="none"/>
          <w:lang w:val="en-US" w:eastAsia="zh-CN"/>
        </w:rPr>
        <w:t>4.8</w:t>
      </w:r>
      <w:r>
        <w:rPr>
          <w:rFonts w:hint="eastAsia" w:ascii="方正仿宋简体" w:hAnsi="Times New Roman" w:eastAsia="方正仿宋简体"/>
          <w:b/>
          <w:color w:val="auto"/>
          <w:szCs w:val="32"/>
          <w:highlight w:val="none"/>
        </w:rPr>
        <w:t>%，人均消费支出2</w:t>
      </w:r>
      <w:r>
        <w:rPr>
          <w:rFonts w:hint="eastAsia" w:ascii="方正仿宋简体" w:hAnsi="Times New Roman" w:eastAsia="方正仿宋简体"/>
          <w:b/>
          <w:color w:val="auto"/>
          <w:szCs w:val="32"/>
          <w:highlight w:val="none"/>
          <w:lang w:val="en-US" w:eastAsia="zh-CN"/>
        </w:rPr>
        <w:t>0947</w:t>
      </w:r>
      <w:r>
        <w:rPr>
          <w:rFonts w:hint="eastAsia" w:ascii="方正仿宋简体" w:hAnsi="Times New Roman" w:eastAsia="方正仿宋简体"/>
          <w:b/>
          <w:color w:val="auto"/>
          <w:szCs w:val="32"/>
          <w:highlight w:val="none"/>
        </w:rPr>
        <w:t>元，同比</w:t>
      </w:r>
      <w:r>
        <w:rPr>
          <w:rFonts w:hint="eastAsia" w:ascii="方正仿宋简体" w:hAnsi="Times New Roman" w:eastAsia="方正仿宋简体"/>
          <w:b/>
          <w:color w:val="auto"/>
          <w:szCs w:val="32"/>
          <w:highlight w:val="none"/>
          <w:lang w:val="en-US" w:eastAsia="zh-CN"/>
        </w:rPr>
        <w:t>下降0.9</w:t>
      </w:r>
      <w:r>
        <w:rPr>
          <w:rFonts w:hint="eastAsia" w:ascii="方正仿宋简体" w:hAnsi="Times New Roman" w:eastAsia="方正仿宋简体"/>
          <w:b/>
          <w:color w:val="auto"/>
          <w:szCs w:val="32"/>
          <w:highlight w:val="none"/>
        </w:rPr>
        <w:t>%；农村居民人均可支配收入</w:t>
      </w:r>
      <w:r>
        <w:rPr>
          <w:rFonts w:hint="eastAsia" w:ascii="方正仿宋简体" w:hAnsi="Times New Roman" w:eastAsia="方正仿宋简体"/>
          <w:b/>
          <w:color w:val="auto"/>
          <w:szCs w:val="32"/>
          <w:highlight w:val="none"/>
          <w:lang w:val="en-US" w:eastAsia="zh-CN"/>
        </w:rPr>
        <w:t>21075</w:t>
      </w:r>
      <w:r>
        <w:rPr>
          <w:rFonts w:hint="eastAsia" w:ascii="方正仿宋简体" w:hAnsi="Times New Roman" w:eastAsia="方正仿宋简体"/>
          <w:b/>
          <w:color w:val="auto"/>
          <w:szCs w:val="32"/>
          <w:highlight w:val="none"/>
        </w:rPr>
        <w:t>元，同比增长</w:t>
      </w:r>
      <w:r>
        <w:rPr>
          <w:rFonts w:hint="eastAsia" w:ascii="方正仿宋简体" w:hAnsi="Times New Roman" w:eastAsia="方正仿宋简体"/>
          <w:b/>
          <w:color w:val="auto"/>
          <w:szCs w:val="32"/>
          <w:highlight w:val="none"/>
          <w:lang w:val="en-US" w:eastAsia="zh-CN"/>
        </w:rPr>
        <w:t>7.6</w:t>
      </w:r>
      <w:r>
        <w:rPr>
          <w:rFonts w:hint="eastAsia" w:ascii="方正仿宋简体" w:hAnsi="Times New Roman" w:eastAsia="方正仿宋简体"/>
          <w:b/>
          <w:color w:val="auto"/>
          <w:szCs w:val="32"/>
          <w:highlight w:val="none"/>
        </w:rPr>
        <w:t>%，人均消费支出12</w:t>
      </w:r>
      <w:r>
        <w:rPr>
          <w:rFonts w:hint="eastAsia" w:ascii="方正仿宋简体" w:hAnsi="Times New Roman" w:eastAsia="方正仿宋简体"/>
          <w:b/>
          <w:color w:val="auto"/>
          <w:szCs w:val="32"/>
          <w:highlight w:val="none"/>
          <w:lang w:val="en-US" w:eastAsia="zh-CN"/>
        </w:rPr>
        <w:t>995</w:t>
      </w:r>
      <w:r>
        <w:rPr>
          <w:rFonts w:hint="eastAsia" w:ascii="方正仿宋简体" w:hAnsi="Times New Roman" w:eastAsia="方正仿宋简体"/>
          <w:b/>
          <w:color w:val="auto"/>
          <w:szCs w:val="32"/>
          <w:highlight w:val="none"/>
        </w:rPr>
        <w:t>元，增长</w:t>
      </w:r>
      <w:r>
        <w:rPr>
          <w:rFonts w:hint="eastAsia" w:ascii="方正仿宋简体" w:hAnsi="Times New Roman" w:eastAsia="方正仿宋简体"/>
          <w:b/>
          <w:color w:val="auto"/>
          <w:szCs w:val="32"/>
          <w:highlight w:val="none"/>
          <w:lang w:val="en-US" w:eastAsia="zh-CN"/>
        </w:rPr>
        <w:t>3.9</w:t>
      </w:r>
      <w:r>
        <w:rPr>
          <w:rFonts w:hint="eastAsia" w:ascii="方正仿宋简体" w:hAnsi="Times New Roman" w:eastAsia="方正仿宋简体"/>
          <w:b/>
          <w:color w:val="auto"/>
          <w:szCs w:val="32"/>
          <w:highlight w:val="none"/>
        </w:rPr>
        <w:t>%。</w:t>
      </w:r>
    </w:p>
    <w:p>
      <w:pPr>
        <w:jc w:val="center"/>
        <w:rPr>
          <w:rFonts w:hint="default"/>
          <w:highlight w:val="none"/>
        </w:rPr>
      </w:pPr>
      <w:r>
        <w:rPr>
          <w:highlight w:val="none"/>
        </w:rPr>
        <w:drawing>
          <wp:inline distT="0" distB="0" distL="114300" distR="114300">
            <wp:extent cx="5541010" cy="3046730"/>
            <wp:effectExtent l="4445" t="4445" r="17145" b="15875"/>
            <wp:docPr id="221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napToGrid w:val="0"/>
        <w:spacing w:line="560" w:lineRule="exact"/>
        <w:ind w:firstLine="964" w:firstLineChars="300"/>
        <w:rPr>
          <w:rFonts w:ascii="Times New Roman" w:hAnsi="Times New Roman" w:eastAsia="方正楷体简体"/>
          <w:b/>
          <w:sz w:val="32"/>
          <w:szCs w:val="32"/>
          <w:highlight w:val="none"/>
        </w:rPr>
      </w:pPr>
      <w:r>
        <w:rPr>
          <w:rFonts w:hint="eastAsia" w:ascii="Times New Roman" w:hAnsi="Times New Roman" w:eastAsia="黑体"/>
          <w:b/>
          <w:sz w:val="32"/>
          <w:szCs w:val="32"/>
          <w:highlight w:val="none"/>
        </w:rPr>
        <w:t>二</w:t>
      </w:r>
      <w:r>
        <w:rPr>
          <w:rFonts w:ascii="Times New Roman" w:hAnsi="Times New Roman" w:eastAsia="黑体"/>
          <w:b/>
          <w:sz w:val="32"/>
          <w:szCs w:val="32"/>
          <w:highlight w:val="none"/>
        </w:rPr>
        <w:t>、农林牧渔业</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hint="eastAsia" w:ascii="方正仿宋简体" w:hAnsi="Times New Roman" w:eastAsia="方正仿宋简体"/>
          <w:b/>
          <w:color w:val="auto"/>
          <w:sz w:val="32"/>
          <w:szCs w:val="32"/>
          <w:highlight w:val="none"/>
        </w:rPr>
      </w:pPr>
      <w:r>
        <w:rPr>
          <w:rFonts w:hint="eastAsia" w:ascii="方正楷体简体" w:hAnsi="Times New Roman" w:eastAsia="方正楷体简体"/>
          <w:b/>
          <w:color w:val="auto"/>
          <w:sz w:val="32"/>
          <w:szCs w:val="32"/>
          <w:highlight w:val="none"/>
        </w:rPr>
        <w:t>农业经济</w:t>
      </w:r>
      <w:r>
        <w:rPr>
          <w:rFonts w:hint="eastAsia" w:ascii="方正楷体简体" w:hAnsi="Times New Roman" w:eastAsia="方正楷体简体"/>
          <w:b/>
          <w:color w:val="auto"/>
          <w:sz w:val="32"/>
          <w:szCs w:val="32"/>
          <w:highlight w:val="none"/>
          <w:lang w:val="en-US" w:eastAsia="zh-CN"/>
        </w:rPr>
        <w:t>稳中有增</w:t>
      </w:r>
      <w:r>
        <w:rPr>
          <w:rFonts w:hint="eastAsia" w:ascii="方正楷体简体" w:hAnsi="Times New Roman" w:eastAsia="方正楷体简体"/>
          <w:b/>
          <w:color w:val="auto"/>
          <w:sz w:val="32"/>
          <w:szCs w:val="32"/>
          <w:highlight w:val="none"/>
        </w:rPr>
        <w:t>。</w:t>
      </w:r>
      <w:r>
        <w:rPr>
          <w:rFonts w:hint="eastAsia" w:ascii="仿宋" w:hAnsi="仿宋" w:eastAsia="仿宋" w:cs="仿宋"/>
          <w:b/>
          <w:color w:val="auto"/>
          <w:sz w:val="32"/>
          <w:szCs w:val="32"/>
          <w:highlight w:val="none"/>
        </w:rPr>
        <w:t>全县农林牧渔业总产值实现142.45亿元，同比增长5.3%。其中：农业71.96亿元，增长1.2%，林业2.04亿元，增长4.7%，畜牧业56.09 亿元，增长10.8%，渔业5.44亿元，同比增长2.8%，农林牧渔服务业6.93亿元，增长11.9%。</w:t>
      </w:r>
    </w:p>
    <w:p>
      <w:pPr>
        <w:widowControl/>
        <w:snapToGrid w:val="0"/>
        <w:spacing w:line="560" w:lineRule="exact"/>
        <w:ind w:firstLine="643" w:firstLineChars="200"/>
        <w:rPr>
          <w:rFonts w:hint="eastAsia" w:ascii="仿宋" w:hAnsi="仿宋" w:eastAsia="仿宋" w:cs="仿宋"/>
          <w:b/>
          <w:color w:val="auto"/>
          <w:sz w:val="32"/>
          <w:szCs w:val="32"/>
          <w:highlight w:val="none"/>
        </w:rPr>
      </w:pPr>
      <w:r>
        <w:rPr>
          <w:rFonts w:hint="eastAsia" w:ascii="方正楷体简体" w:hAnsi="Times New Roman" w:eastAsia="方正楷体简体"/>
          <w:b/>
          <w:color w:val="auto"/>
          <w:sz w:val="32"/>
          <w:szCs w:val="32"/>
          <w:highlight w:val="none"/>
        </w:rPr>
        <w:t>主要农产品稳产保供。</w:t>
      </w:r>
      <w:r>
        <w:rPr>
          <w:rFonts w:hint="eastAsia" w:ascii="仿宋" w:hAnsi="仿宋" w:eastAsia="仿宋" w:cs="仿宋"/>
          <w:b/>
          <w:color w:val="auto"/>
          <w:sz w:val="32"/>
          <w:szCs w:val="32"/>
          <w:highlight w:val="none"/>
        </w:rPr>
        <w:t>全年粮食作物播种面积146.93万亩，同比增长0.05%；粮食总产62.03万吨，同比增长0.71%；单产422.16公斤，同比增长0.66%。其中：夏粮总产33.87 万吨，增长0.01%；秋粮总产28.16万吨，增长1.56%。经济作物面积29.47万亩，减少1.1%；蔬菜及食用菌产量85.62万吨，增长1.5%；瓜果产量8.4万吨，下降11.6%；棉花产量0.08万吨，下降4.2%；油料产量0.55万吨，下降8.3%。园林水果产量5.15万吨，下降1.7%。肉类总产量8.48万吨，增长3.29%；禽蛋总产量3.23万吨，下降12.7%；水产品总产量0.56万吨，下降1.75%。</w:t>
      </w:r>
    </w:p>
    <w:p>
      <w:pPr>
        <w:widowControl/>
        <w:snapToGrid w:val="0"/>
        <w:spacing w:line="560" w:lineRule="exact"/>
        <w:ind w:firstLine="643" w:firstLineChars="200"/>
        <w:rPr>
          <w:rFonts w:hint="eastAsia" w:ascii="仿宋" w:hAnsi="仿宋" w:eastAsia="仿宋" w:cs="仿宋"/>
          <w:b/>
          <w:color w:val="auto"/>
          <w:sz w:val="32"/>
          <w:szCs w:val="32"/>
          <w:highlight w:val="none"/>
        </w:rPr>
      </w:pPr>
      <w:r>
        <w:rPr>
          <w:rFonts w:hint="eastAsia" w:ascii="方正楷体简体" w:hAnsi="Times New Roman" w:eastAsia="方正楷体简体"/>
          <w:b/>
          <w:color w:val="auto"/>
          <w:sz w:val="32"/>
          <w:szCs w:val="32"/>
          <w:highlight w:val="none"/>
        </w:rPr>
        <w:t>畜牧生产稳中向好。</w:t>
      </w:r>
      <w:r>
        <w:rPr>
          <w:rFonts w:hint="eastAsia" w:ascii="仿宋" w:hAnsi="仿宋" w:eastAsia="仿宋" w:cs="仿宋"/>
          <w:b/>
          <w:color w:val="auto"/>
          <w:sz w:val="32"/>
          <w:szCs w:val="32"/>
          <w:highlight w:val="none"/>
        </w:rPr>
        <w:t>全县年末生猪存栏34.21万头，同比增长16.16%，肉猪出栏头数49.02万头，同比增长11.46%。年末牛存栏11.34 万头，同比下降12.9%，牛出栏14.74万头，同比增长6.66%。年末羊存栏14.61万只，同比下降14.61%；羊出栏23.19万只，同比增长4.41%。</w:t>
      </w:r>
    </w:p>
    <w:p>
      <w:pPr>
        <w:widowControl/>
        <w:snapToGrid w:val="0"/>
        <w:spacing w:line="560" w:lineRule="exact"/>
        <w:ind w:firstLine="643" w:firstLineChars="200"/>
        <w:rPr>
          <w:rFonts w:ascii="方正仿宋简体" w:hAnsi="Times New Roman" w:eastAsia="方正仿宋简体" w:cs="Times New Roman"/>
          <w:b/>
          <w:sz w:val="32"/>
          <w:szCs w:val="32"/>
          <w:highlight w:val="none"/>
        </w:rPr>
      </w:pPr>
      <w:r>
        <w:rPr>
          <w:rFonts w:hint="eastAsia" w:ascii="方正楷体简体" w:hAnsi="Times New Roman" w:eastAsia="方正楷体简体"/>
          <w:b/>
          <w:sz w:val="32"/>
          <w:szCs w:val="32"/>
          <w:highlight w:val="none"/>
        </w:rPr>
        <w:t>农业</w:t>
      </w:r>
      <w:r>
        <w:rPr>
          <w:rFonts w:hint="eastAsia" w:ascii="方正楷体简体" w:hAnsi="Times New Roman" w:eastAsia="方正楷体简体"/>
          <w:b/>
          <w:sz w:val="32"/>
          <w:szCs w:val="32"/>
          <w:highlight w:val="none"/>
          <w:lang w:val="en-US" w:eastAsia="zh-CN"/>
        </w:rPr>
        <w:t>机械化水平不断提升</w:t>
      </w:r>
      <w:r>
        <w:rPr>
          <w:rFonts w:hint="eastAsia" w:ascii="方正楷体简体" w:hAnsi="Times New Roman" w:eastAsia="方正楷体简体"/>
          <w:b/>
          <w:sz w:val="32"/>
          <w:szCs w:val="32"/>
          <w:highlight w:val="none"/>
        </w:rPr>
        <w:t>。</w:t>
      </w:r>
      <w:r>
        <w:rPr>
          <w:rFonts w:hint="eastAsia" w:ascii="方正仿宋简体" w:hAnsi="Times New Roman" w:eastAsia="方正仿宋简体" w:cs="Times New Roman"/>
          <w:b/>
          <w:sz w:val="32"/>
          <w:szCs w:val="32"/>
          <w:highlight w:val="none"/>
        </w:rPr>
        <w:t>全县农业机械总动力99.24万千瓦，增长4.7%(同期扣除农用运输车动力)。农用大中型拖拉机0.36万台，联合收获机0.37万台、增长6.85%，拖拉机配套农具2.67万台。农作物耕种收综合机械化水平达92.05%，小麦和玉米等主要农作物机播、机收率均达到100%。</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hint="eastAsia" w:ascii="方正仿宋简体" w:hAnsi="Times New Roman" w:eastAsia="方正仿宋简体" w:cs="Times New Roman"/>
          <w:b/>
          <w:color w:val="auto"/>
          <w:sz w:val="32"/>
          <w:szCs w:val="32"/>
          <w:highlight w:val="none"/>
          <w:lang w:val="en-US" w:eastAsia="zh-CN"/>
        </w:rPr>
      </w:pPr>
      <w:r>
        <w:rPr>
          <w:rFonts w:hint="eastAsia" w:ascii="方正楷体简体" w:hAnsi="Times New Roman" w:eastAsia="方正楷体简体"/>
          <w:b/>
          <w:sz w:val="32"/>
          <w:szCs w:val="32"/>
          <w:highlight w:val="none"/>
          <w:lang w:val="en-US" w:eastAsia="zh-CN"/>
        </w:rPr>
        <w:t>现代农业提质发展。</w:t>
      </w:r>
      <w:r>
        <w:rPr>
          <w:rFonts w:hint="eastAsia" w:ascii="方正仿宋简体" w:hAnsi="Times New Roman" w:eastAsia="方正仿宋简体" w:cs="Times New Roman"/>
          <w:b/>
          <w:sz w:val="32"/>
          <w:szCs w:val="32"/>
          <w:highlight w:val="none"/>
          <w:lang w:val="en-US" w:eastAsia="zh-CN"/>
        </w:rPr>
        <w:t>全县规模以上农业龙头企业235家，其中国家级重点龙头企业1家、省级9家、市级74家；入选省级现代农业产业园1处。实施“一村一品”强村富民工程，认定全国乡村特色产业十亿元镇、亿元村各1个。农民专业合作社</w:t>
      </w:r>
      <w:r>
        <w:rPr>
          <w:rFonts w:hint="default" w:ascii="方正仿宋简体" w:hAnsi="Times New Roman" w:eastAsia="方正仿宋简体" w:cs="Times New Roman"/>
          <w:b/>
          <w:sz w:val="32"/>
          <w:szCs w:val="32"/>
          <w:highlight w:val="none"/>
          <w:lang w:val="en-US" w:eastAsia="zh-CN"/>
        </w:rPr>
        <w:t>2868</w:t>
      </w:r>
      <w:r>
        <w:rPr>
          <w:rFonts w:hint="eastAsia" w:ascii="方正仿宋简体" w:hAnsi="Times New Roman" w:eastAsia="方正仿宋简体" w:cs="Times New Roman"/>
          <w:b/>
          <w:sz w:val="32"/>
          <w:szCs w:val="32"/>
          <w:highlight w:val="none"/>
          <w:lang w:val="en-US" w:eastAsia="zh-CN"/>
        </w:rPr>
        <w:t>家、家庭农场</w:t>
      </w:r>
      <w:r>
        <w:rPr>
          <w:rFonts w:hint="default" w:ascii="方正仿宋简体" w:hAnsi="Times New Roman" w:eastAsia="方正仿宋简体" w:cs="Times New Roman"/>
          <w:b/>
          <w:sz w:val="32"/>
          <w:szCs w:val="32"/>
          <w:highlight w:val="none"/>
          <w:lang w:val="en-US" w:eastAsia="zh-CN"/>
        </w:rPr>
        <w:t>2945</w:t>
      </w:r>
      <w:r>
        <w:rPr>
          <w:rFonts w:hint="eastAsia" w:ascii="方正仿宋简体" w:hAnsi="Times New Roman" w:eastAsia="方正仿宋简体" w:cs="Times New Roman"/>
          <w:b/>
          <w:sz w:val="32"/>
          <w:szCs w:val="32"/>
          <w:highlight w:val="none"/>
          <w:lang w:val="en-US" w:eastAsia="zh-CN"/>
        </w:rPr>
        <w:t>家。深入实施化肥农药零增长行动，新增水肥一体化面积6480亩。建设农业标准化生产基地，累计认定省级标准化生产基地9处、认证“三品一标”农产品72个。</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ascii="Times New Roman" w:hAnsi="Times New Roman" w:eastAsia="方正楷体简体"/>
          <w:b/>
          <w:sz w:val="32"/>
          <w:szCs w:val="32"/>
          <w:highlight w:val="none"/>
        </w:rPr>
      </w:pPr>
      <w:r>
        <w:rPr>
          <w:rFonts w:hint="eastAsia" w:ascii="Times New Roman" w:hAnsi="Times New Roman" w:eastAsia="黑体"/>
          <w:b/>
          <w:sz w:val="32"/>
          <w:szCs w:val="32"/>
          <w:highlight w:val="none"/>
        </w:rPr>
        <w:t>三</w:t>
      </w:r>
      <w:r>
        <w:rPr>
          <w:rFonts w:ascii="Times New Roman" w:hAnsi="Times New Roman" w:eastAsia="黑体"/>
          <w:b/>
          <w:sz w:val="32"/>
          <w:szCs w:val="32"/>
          <w:highlight w:val="none"/>
        </w:rPr>
        <w:t>、工业和建筑</w:t>
      </w:r>
      <w:r>
        <w:rPr>
          <w:rFonts w:hint="eastAsia" w:ascii="Times New Roman" w:hAnsi="Times New Roman" w:eastAsia="黑体"/>
          <w:b/>
          <w:sz w:val="32"/>
          <w:szCs w:val="32"/>
          <w:highlight w:val="none"/>
        </w:rPr>
        <w:t>业</w:t>
      </w:r>
    </w:p>
    <w:p>
      <w:pPr>
        <w:pStyle w:val="2"/>
        <w:keepNext w:val="0"/>
        <w:keepLines w:val="0"/>
        <w:pageBreakBefore w:val="0"/>
        <w:widowControl w:val="0"/>
        <w:kinsoku/>
        <w:wordWrap/>
        <w:overflowPunct/>
        <w:topLinePunct w:val="0"/>
        <w:autoSpaceDE/>
        <w:autoSpaceDN/>
        <w:bidi w:val="0"/>
        <w:adjustRightInd/>
        <w:spacing w:line="560" w:lineRule="exact"/>
        <w:ind w:left="0" w:firstLine="643" w:firstLineChars="200"/>
        <w:jc w:val="both"/>
        <w:rPr>
          <w:rFonts w:hint="eastAsia" w:ascii="方正仿宋简体" w:hAnsi="Times New Roman" w:eastAsia="方正仿宋简体" w:cs="Times New Roman"/>
          <w:b/>
          <w:kern w:val="2"/>
          <w:sz w:val="32"/>
          <w:szCs w:val="32"/>
          <w:highlight w:val="none"/>
          <w:lang w:val="en-US" w:eastAsia="zh-CN" w:bidi="ar-SA"/>
        </w:rPr>
      </w:pPr>
      <w:r>
        <w:rPr>
          <w:rFonts w:hint="eastAsia" w:ascii="方正楷体简体" w:hAnsi="Times New Roman" w:eastAsia="方正楷体简体" w:cs="Times New Roman"/>
          <w:b/>
          <w:kern w:val="2"/>
          <w:sz w:val="32"/>
          <w:szCs w:val="32"/>
          <w:highlight w:val="none"/>
          <w:lang w:val="en-US" w:eastAsia="zh-CN" w:bidi="ar-SA"/>
        </w:rPr>
        <w:t>工业生产保持平稳。</w:t>
      </w:r>
      <w:r>
        <w:rPr>
          <w:rFonts w:hint="eastAsia" w:ascii="方正仿宋简体" w:hAnsi="Times New Roman" w:eastAsia="方正仿宋简体" w:cs="Times New Roman"/>
          <w:b/>
          <w:kern w:val="2"/>
          <w:sz w:val="32"/>
          <w:szCs w:val="32"/>
          <w:highlight w:val="none"/>
          <w:lang w:val="en-US" w:eastAsia="zh-CN" w:bidi="ar-SA"/>
        </w:rPr>
        <w:t>全县规模以上工业增加值同比增长1.6%。按行业门类分，采矿业增长1.9%，实现增加值占规模工业的3.1%，制造业增长1.6%，实现增加值占规模工业的94.0%，电力、燃气及水的生产和供应业增长1.0%，占比为2.9%。按经济类型分：股份制企业增长1.24%，外商及港澳台商投资企业增长2.10%，其他经济类型企业增长0.10%。按轻重工业分；轻工业增长1.65%，重工业增长1.60%，轻重工业增加值之比为27:73。</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hint="eastAsia" w:ascii="方正仿宋简体" w:hAnsi="Times New Roman" w:eastAsia="方正仿宋简体"/>
          <w:b/>
          <w:color w:val="auto"/>
          <w:sz w:val="32"/>
          <w:szCs w:val="32"/>
          <w:highlight w:val="none"/>
        </w:rPr>
      </w:pPr>
      <w:r>
        <w:rPr>
          <w:rFonts w:hint="eastAsia" w:ascii="方正楷体简体" w:hAnsi="Times New Roman" w:eastAsia="方正楷体简体"/>
          <w:b/>
          <w:color w:val="auto"/>
          <w:sz w:val="32"/>
          <w:szCs w:val="32"/>
          <w:highlight w:val="none"/>
        </w:rPr>
        <w:t>建筑行业</w:t>
      </w:r>
      <w:r>
        <w:rPr>
          <w:rFonts w:hint="eastAsia" w:ascii="方正楷体简体" w:hAnsi="Times New Roman" w:eastAsia="方正楷体简体"/>
          <w:b/>
          <w:color w:val="auto"/>
          <w:sz w:val="32"/>
          <w:szCs w:val="32"/>
          <w:highlight w:val="none"/>
          <w:lang w:eastAsia="zh-CN"/>
        </w:rPr>
        <w:t>运行稳健</w:t>
      </w:r>
      <w:r>
        <w:rPr>
          <w:rFonts w:hint="eastAsia" w:ascii="方正楷体简体" w:hAnsi="Times New Roman" w:eastAsia="方正楷体简体"/>
          <w:b/>
          <w:color w:val="auto"/>
          <w:sz w:val="32"/>
          <w:szCs w:val="32"/>
          <w:highlight w:val="none"/>
        </w:rPr>
        <w:t>。</w:t>
      </w:r>
      <w:r>
        <w:rPr>
          <w:rFonts w:hint="eastAsia" w:ascii="方正仿宋简体" w:hAnsi="Times New Roman" w:eastAsia="方正仿宋简体"/>
          <w:b/>
          <w:color w:val="auto"/>
          <w:sz w:val="32"/>
          <w:szCs w:val="32"/>
          <w:highlight w:val="none"/>
        </w:rPr>
        <w:t>全县列统总承包和专业承包的建筑业企业</w:t>
      </w:r>
      <w:r>
        <w:rPr>
          <w:rFonts w:hint="eastAsia" w:ascii="方正仿宋简体" w:hAnsi="Times New Roman" w:eastAsia="方正仿宋简体"/>
          <w:b/>
          <w:color w:val="auto"/>
          <w:sz w:val="32"/>
          <w:szCs w:val="32"/>
          <w:highlight w:val="none"/>
          <w:lang w:val="en-US" w:eastAsia="zh-CN"/>
        </w:rPr>
        <w:t>67</w:t>
      </w:r>
      <w:r>
        <w:rPr>
          <w:rFonts w:hint="eastAsia" w:ascii="方正仿宋简体" w:hAnsi="Times New Roman" w:eastAsia="方正仿宋简体"/>
          <w:b/>
          <w:color w:val="auto"/>
          <w:sz w:val="32"/>
          <w:szCs w:val="32"/>
          <w:highlight w:val="none"/>
        </w:rPr>
        <w:t>家，同比增加1</w:t>
      </w:r>
      <w:r>
        <w:rPr>
          <w:rFonts w:hint="eastAsia" w:ascii="方正仿宋简体" w:hAnsi="Times New Roman" w:eastAsia="方正仿宋简体"/>
          <w:b/>
          <w:color w:val="auto"/>
          <w:sz w:val="32"/>
          <w:szCs w:val="32"/>
          <w:highlight w:val="none"/>
          <w:lang w:val="en-US" w:eastAsia="zh-CN"/>
        </w:rPr>
        <w:t>7</w:t>
      </w:r>
      <w:r>
        <w:rPr>
          <w:rFonts w:hint="eastAsia" w:ascii="方正仿宋简体" w:hAnsi="Times New Roman" w:eastAsia="方正仿宋简体"/>
          <w:b/>
          <w:color w:val="auto"/>
          <w:sz w:val="32"/>
          <w:szCs w:val="32"/>
          <w:highlight w:val="none"/>
        </w:rPr>
        <w:t>家；完成总产值</w:t>
      </w:r>
      <w:r>
        <w:rPr>
          <w:rFonts w:hint="eastAsia" w:ascii="方正仿宋简体" w:hAnsi="Times New Roman" w:eastAsia="方正仿宋简体"/>
          <w:b/>
          <w:color w:val="auto"/>
          <w:sz w:val="32"/>
          <w:szCs w:val="32"/>
          <w:highlight w:val="none"/>
          <w:lang w:val="en-US" w:eastAsia="zh-CN"/>
        </w:rPr>
        <w:t>13.0</w:t>
      </w:r>
      <w:r>
        <w:rPr>
          <w:rFonts w:hint="eastAsia" w:ascii="方正仿宋简体" w:hAnsi="Times New Roman" w:eastAsia="方正仿宋简体"/>
          <w:b/>
          <w:color w:val="auto"/>
          <w:sz w:val="32"/>
          <w:szCs w:val="32"/>
          <w:highlight w:val="none"/>
        </w:rPr>
        <w:t>亿元，同比</w:t>
      </w:r>
      <w:r>
        <w:rPr>
          <w:rFonts w:hint="eastAsia" w:ascii="方正仿宋简体" w:hAnsi="Times New Roman" w:eastAsia="方正仿宋简体"/>
          <w:b/>
          <w:color w:val="auto"/>
          <w:sz w:val="32"/>
          <w:szCs w:val="32"/>
          <w:highlight w:val="none"/>
          <w:lang w:val="en-US" w:eastAsia="zh-CN"/>
        </w:rPr>
        <w:t>增长3.1</w:t>
      </w:r>
      <w:r>
        <w:rPr>
          <w:rFonts w:hint="eastAsia" w:ascii="方正仿宋简体" w:hAnsi="Times New Roman" w:eastAsia="方正仿宋简体"/>
          <w:b/>
          <w:color w:val="auto"/>
          <w:sz w:val="32"/>
          <w:szCs w:val="32"/>
          <w:highlight w:val="none"/>
        </w:rPr>
        <w:t>%；实现增加值</w:t>
      </w:r>
      <w:r>
        <w:rPr>
          <w:rFonts w:hint="eastAsia" w:ascii="方正仿宋简体" w:hAnsi="Times New Roman" w:eastAsia="方正仿宋简体"/>
          <w:b/>
          <w:color w:val="auto"/>
          <w:sz w:val="32"/>
          <w:szCs w:val="32"/>
          <w:highlight w:val="none"/>
          <w:lang w:val="en-US" w:eastAsia="zh-CN"/>
        </w:rPr>
        <w:t>2.8</w:t>
      </w:r>
      <w:r>
        <w:rPr>
          <w:rFonts w:hint="eastAsia" w:ascii="方正仿宋简体" w:hAnsi="Times New Roman" w:eastAsia="方正仿宋简体"/>
          <w:b/>
          <w:color w:val="auto"/>
          <w:sz w:val="32"/>
          <w:szCs w:val="32"/>
          <w:highlight w:val="none"/>
        </w:rPr>
        <w:t>亿元，同比下降</w:t>
      </w:r>
      <w:r>
        <w:rPr>
          <w:rFonts w:hint="eastAsia" w:ascii="方正仿宋简体" w:hAnsi="Times New Roman" w:eastAsia="方正仿宋简体"/>
          <w:b/>
          <w:color w:val="auto"/>
          <w:sz w:val="32"/>
          <w:szCs w:val="32"/>
          <w:highlight w:val="none"/>
          <w:lang w:val="en-US" w:eastAsia="zh-CN"/>
        </w:rPr>
        <w:t>26.3</w:t>
      </w:r>
      <w:r>
        <w:rPr>
          <w:rFonts w:hint="eastAsia" w:ascii="方正仿宋简体" w:hAnsi="Times New Roman" w:eastAsia="方正仿宋简体"/>
          <w:b/>
          <w:color w:val="auto"/>
          <w:sz w:val="32"/>
          <w:szCs w:val="32"/>
          <w:highlight w:val="none"/>
        </w:rPr>
        <w:t>%。</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ascii="Times New Roman" w:hAnsi="Times New Roman" w:eastAsia="方正仿宋简体"/>
          <w:b/>
          <w:sz w:val="32"/>
          <w:szCs w:val="32"/>
          <w:highlight w:val="none"/>
        </w:rPr>
      </w:pPr>
      <w:r>
        <w:rPr>
          <w:rFonts w:ascii="Times New Roman" w:hAnsi="Times New Roman" w:eastAsia="黑体"/>
          <w:b/>
          <w:sz w:val="32"/>
          <w:szCs w:val="32"/>
          <w:highlight w:val="none"/>
        </w:rPr>
        <w:t>四、固定资产投资</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hint="eastAsia" w:ascii="方正仿宋简体" w:hAnsi="Times New Roman" w:eastAsia="方正仿宋简体"/>
          <w:b/>
          <w:color w:val="auto"/>
          <w:sz w:val="32"/>
          <w:szCs w:val="32"/>
          <w:highlight w:val="none"/>
        </w:rPr>
      </w:pPr>
      <w:r>
        <w:rPr>
          <w:rFonts w:hint="eastAsia" w:ascii="方正楷体简体" w:hAnsi="Times New Roman" w:eastAsia="方正楷体简体"/>
          <w:b/>
          <w:color w:val="auto"/>
          <w:sz w:val="32"/>
          <w:szCs w:val="32"/>
          <w:highlight w:val="none"/>
        </w:rPr>
        <w:t>项目投资降幅</w:t>
      </w:r>
      <w:r>
        <w:rPr>
          <w:rFonts w:hint="eastAsia" w:ascii="方正楷体简体" w:hAnsi="Times New Roman" w:eastAsia="方正楷体简体"/>
          <w:b/>
          <w:color w:val="auto"/>
          <w:sz w:val="32"/>
          <w:szCs w:val="32"/>
          <w:highlight w:val="none"/>
          <w:lang w:val="en-US" w:eastAsia="zh-CN"/>
        </w:rPr>
        <w:t>收窄</w:t>
      </w:r>
      <w:r>
        <w:rPr>
          <w:rFonts w:hint="eastAsia" w:ascii="方正楷体简体" w:hAnsi="Times New Roman" w:eastAsia="方正楷体简体"/>
          <w:b/>
          <w:color w:val="auto"/>
          <w:sz w:val="32"/>
          <w:szCs w:val="32"/>
          <w:highlight w:val="none"/>
        </w:rPr>
        <w:t>。</w:t>
      </w:r>
      <w:r>
        <w:rPr>
          <w:rFonts w:hint="eastAsia" w:ascii="方正仿宋简体" w:hAnsi="Times New Roman" w:eastAsia="方正仿宋简体"/>
          <w:b/>
          <w:color w:val="auto"/>
          <w:sz w:val="32"/>
          <w:szCs w:val="32"/>
          <w:highlight w:val="none"/>
        </w:rPr>
        <w:t>全县固定资产投资（不含农户）同比</w:t>
      </w:r>
      <w:r>
        <w:rPr>
          <w:rFonts w:hint="eastAsia" w:ascii="方正仿宋简体" w:hAnsi="Times New Roman" w:eastAsia="方正仿宋简体"/>
          <w:b/>
          <w:color w:val="auto"/>
          <w:sz w:val="32"/>
          <w:szCs w:val="32"/>
          <w:highlight w:val="none"/>
          <w:lang w:val="en-US" w:eastAsia="zh-CN"/>
        </w:rPr>
        <w:t>下降24.3</w:t>
      </w:r>
      <w:r>
        <w:rPr>
          <w:rFonts w:hint="eastAsia" w:ascii="方正仿宋简体" w:hAnsi="Times New Roman" w:eastAsia="方正仿宋简体"/>
          <w:b/>
          <w:color w:val="auto"/>
          <w:sz w:val="32"/>
          <w:szCs w:val="32"/>
          <w:highlight w:val="none"/>
        </w:rPr>
        <w:t>%，其中：第一产业</w:t>
      </w:r>
      <w:r>
        <w:rPr>
          <w:rFonts w:hint="eastAsia" w:ascii="方正仿宋简体" w:hAnsi="Times New Roman" w:eastAsia="方正仿宋简体"/>
          <w:b/>
          <w:color w:val="auto"/>
          <w:sz w:val="32"/>
          <w:szCs w:val="32"/>
          <w:highlight w:val="none"/>
          <w:lang w:val="en-US" w:eastAsia="zh-CN"/>
        </w:rPr>
        <w:t>下降93.6</w:t>
      </w:r>
      <w:r>
        <w:rPr>
          <w:rFonts w:hint="eastAsia" w:ascii="方正仿宋简体" w:hAnsi="Times New Roman" w:eastAsia="方正仿宋简体"/>
          <w:b/>
          <w:color w:val="auto"/>
          <w:sz w:val="32"/>
          <w:szCs w:val="32"/>
          <w:highlight w:val="none"/>
        </w:rPr>
        <w:t>%，第二产业下降</w:t>
      </w:r>
      <w:r>
        <w:rPr>
          <w:rFonts w:hint="eastAsia" w:ascii="方正仿宋简体" w:hAnsi="Times New Roman" w:eastAsia="方正仿宋简体"/>
          <w:b/>
          <w:color w:val="auto"/>
          <w:sz w:val="32"/>
          <w:szCs w:val="32"/>
          <w:highlight w:val="none"/>
          <w:lang w:val="en-US" w:eastAsia="zh-CN"/>
        </w:rPr>
        <w:t>14.1</w:t>
      </w:r>
      <w:r>
        <w:rPr>
          <w:rFonts w:hint="eastAsia" w:ascii="方正仿宋简体" w:hAnsi="Times New Roman" w:eastAsia="方正仿宋简体"/>
          <w:b/>
          <w:color w:val="auto"/>
          <w:sz w:val="32"/>
          <w:szCs w:val="32"/>
          <w:highlight w:val="none"/>
        </w:rPr>
        <w:t>%，第三产业</w:t>
      </w:r>
      <w:r>
        <w:rPr>
          <w:rFonts w:hint="eastAsia" w:ascii="方正仿宋简体" w:hAnsi="Times New Roman" w:eastAsia="方正仿宋简体"/>
          <w:b/>
          <w:color w:val="auto"/>
          <w:sz w:val="32"/>
          <w:szCs w:val="32"/>
          <w:highlight w:val="none"/>
          <w:lang w:val="en-US" w:eastAsia="zh-CN"/>
        </w:rPr>
        <w:t>下降35.9</w:t>
      </w:r>
      <w:r>
        <w:rPr>
          <w:rFonts w:hint="eastAsia" w:ascii="方正仿宋简体" w:hAnsi="Times New Roman" w:eastAsia="方正仿宋简体"/>
          <w:b/>
          <w:color w:val="auto"/>
          <w:sz w:val="32"/>
          <w:szCs w:val="32"/>
          <w:highlight w:val="none"/>
        </w:rPr>
        <w:t>%。三次产业投资结构</w:t>
      </w:r>
      <w:r>
        <w:rPr>
          <w:rFonts w:hint="eastAsia" w:ascii="方正仿宋简体" w:hAnsi="Times New Roman" w:eastAsia="方正仿宋简体"/>
          <w:b/>
          <w:color w:val="auto"/>
          <w:sz w:val="32"/>
          <w:szCs w:val="32"/>
          <w:highlight w:val="none"/>
          <w:lang w:val="en-US" w:eastAsia="zh-CN"/>
        </w:rPr>
        <w:t>0.2:60.4:39.4</w:t>
      </w:r>
      <w:r>
        <w:rPr>
          <w:rFonts w:hint="eastAsia" w:ascii="方正仿宋简体" w:hAnsi="Times New Roman" w:eastAsia="方正仿宋简体"/>
          <w:b/>
          <w:color w:val="auto"/>
          <w:sz w:val="32"/>
          <w:szCs w:val="32"/>
          <w:highlight w:val="none"/>
        </w:rPr>
        <w:t>。基础设施投资同比下降</w:t>
      </w:r>
      <w:r>
        <w:rPr>
          <w:rFonts w:hint="eastAsia" w:ascii="方正仿宋简体" w:hAnsi="Times New Roman" w:eastAsia="方正仿宋简体"/>
          <w:b/>
          <w:color w:val="auto"/>
          <w:sz w:val="32"/>
          <w:szCs w:val="32"/>
          <w:highlight w:val="none"/>
          <w:lang w:val="en-US" w:eastAsia="zh-CN"/>
        </w:rPr>
        <w:t>50.5</w:t>
      </w:r>
      <w:r>
        <w:rPr>
          <w:rFonts w:hint="eastAsia" w:ascii="方正仿宋简体" w:hAnsi="Times New Roman" w:eastAsia="方正仿宋简体"/>
          <w:b/>
          <w:color w:val="auto"/>
          <w:sz w:val="32"/>
          <w:szCs w:val="32"/>
          <w:highlight w:val="none"/>
        </w:rPr>
        <w:t>%，工业投资下降</w:t>
      </w:r>
      <w:r>
        <w:rPr>
          <w:rFonts w:hint="eastAsia" w:ascii="方正仿宋简体" w:hAnsi="Times New Roman" w:eastAsia="方正仿宋简体"/>
          <w:b/>
          <w:color w:val="auto"/>
          <w:sz w:val="32"/>
          <w:szCs w:val="32"/>
          <w:highlight w:val="none"/>
          <w:lang w:val="en-US" w:eastAsia="zh-CN"/>
        </w:rPr>
        <w:t>1</w:t>
      </w:r>
      <w:r>
        <w:rPr>
          <w:rFonts w:hint="eastAsia" w:ascii="方正仿宋简体" w:hAnsi="Times New Roman" w:eastAsia="方正仿宋简体"/>
          <w:b/>
          <w:color w:val="auto"/>
          <w:sz w:val="32"/>
          <w:szCs w:val="32"/>
          <w:highlight w:val="none"/>
        </w:rPr>
        <w:t>4.1%，其中：工业技改</w:t>
      </w:r>
      <w:r>
        <w:rPr>
          <w:rFonts w:hint="eastAsia" w:ascii="方正仿宋简体" w:hAnsi="Times New Roman" w:eastAsia="方正仿宋简体"/>
          <w:b/>
          <w:color w:val="auto"/>
          <w:sz w:val="32"/>
          <w:szCs w:val="32"/>
          <w:highlight w:val="none"/>
          <w:lang w:val="en-US" w:eastAsia="zh-CN"/>
        </w:rPr>
        <w:t>投资增长18.3</w:t>
      </w:r>
      <w:r>
        <w:rPr>
          <w:rFonts w:hint="eastAsia" w:ascii="方正仿宋简体" w:hAnsi="Times New Roman" w:eastAsia="方正仿宋简体"/>
          <w:b/>
          <w:color w:val="auto"/>
          <w:sz w:val="32"/>
          <w:szCs w:val="32"/>
          <w:highlight w:val="none"/>
        </w:rPr>
        <w:t>%，制造业</w:t>
      </w:r>
      <w:r>
        <w:rPr>
          <w:rFonts w:hint="eastAsia" w:ascii="方正仿宋简体" w:hAnsi="Times New Roman" w:eastAsia="方正仿宋简体"/>
          <w:b/>
          <w:color w:val="auto"/>
          <w:sz w:val="32"/>
          <w:szCs w:val="32"/>
          <w:highlight w:val="none"/>
          <w:lang w:val="en-US" w:eastAsia="zh-CN"/>
        </w:rPr>
        <w:t>技改投资增长18.3</w:t>
      </w:r>
      <w:r>
        <w:rPr>
          <w:rFonts w:hint="eastAsia" w:ascii="方正仿宋简体" w:hAnsi="Times New Roman" w:eastAsia="方正仿宋简体"/>
          <w:b/>
          <w:color w:val="auto"/>
          <w:sz w:val="32"/>
          <w:szCs w:val="32"/>
          <w:highlight w:val="none"/>
        </w:rPr>
        <w:t>%。民间投资</w:t>
      </w:r>
      <w:r>
        <w:rPr>
          <w:rFonts w:hint="eastAsia" w:ascii="方正仿宋简体" w:hAnsi="Times New Roman" w:eastAsia="方正仿宋简体"/>
          <w:b/>
          <w:color w:val="auto"/>
          <w:sz w:val="32"/>
          <w:szCs w:val="32"/>
          <w:highlight w:val="none"/>
          <w:lang w:val="en-US" w:eastAsia="zh-CN"/>
        </w:rPr>
        <w:t>下降16.1</w:t>
      </w:r>
      <w:r>
        <w:rPr>
          <w:rFonts w:hint="eastAsia" w:ascii="方正仿宋简体" w:hAnsi="Times New Roman" w:eastAsia="方正仿宋简体"/>
          <w:b/>
          <w:color w:val="auto"/>
          <w:sz w:val="32"/>
          <w:szCs w:val="32"/>
          <w:highlight w:val="none"/>
        </w:rPr>
        <w:t>%。5000万元以上在</w:t>
      </w:r>
      <w:r>
        <w:rPr>
          <w:rFonts w:hint="eastAsia" w:ascii="方正仿宋简体" w:hAnsi="Times New Roman" w:eastAsia="方正仿宋简体"/>
          <w:b/>
          <w:color w:val="auto"/>
          <w:sz w:val="32"/>
          <w:szCs w:val="32"/>
          <w:highlight w:val="none"/>
          <w:lang w:val="en-US" w:eastAsia="zh-CN"/>
        </w:rPr>
        <w:t>库</w:t>
      </w:r>
      <w:r>
        <w:rPr>
          <w:rFonts w:hint="eastAsia" w:ascii="方正仿宋简体" w:hAnsi="Times New Roman" w:eastAsia="方正仿宋简体"/>
          <w:b/>
          <w:color w:val="auto"/>
          <w:sz w:val="32"/>
          <w:szCs w:val="32"/>
          <w:highlight w:val="none"/>
        </w:rPr>
        <w:t>项目</w:t>
      </w:r>
      <w:r>
        <w:rPr>
          <w:rFonts w:hint="eastAsia" w:ascii="方正仿宋简体" w:hAnsi="Times New Roman" w:eastAsia="方正仿宋简体"/>
          <w:b/>
          <w:color w:val="auto"/>
          <w:sz w:val="32"/>
          <w:szCs w:val="32"/>
          <w:highlight w:val="none"/>
          <w:lang w:val="en-US" w:eastAsia="zh-CN"/>
        </w:rPr>
        <w:t>143</w:t>
      </w:r>
      <w:r>
        <w:rPr>
          <w:rFonts w:hint="eastAsia" w:ascii="方正仿宋简体" w:hAnsi="Times New Roman" w:eastAsia="方正仿宋简体"/>
          <w:b/>
          <w:color w:val="auto"/>
          <w:sz w:val="32"/>
          <w:szCs w:val="32"/>
          <w:highlight w:val="none"/>
        </w:rPr>
        <w:t>个，其中在</w:t>
      </w:r>
      <w:r>
        <w:rPr>
          <w:rFonts w:hint="eastAsia" w:ascii="方正仿宋简体" w:hAnsi="Times New Roman" w:eastAsia="方正仿宋简体"/>
          <w:b/>
          <w:color w:val="auto"/>
          <w:sz w:val="32"/>
          <w:szCs w:val="32"/>
          <w:highlight w:val="none"/>
          <w:lang w:val="en-US" w:eastAsia="zh-CN"/>
        </w:rPr>
        <w:t>库</w:t>
      </w:r>
      <w:r>
        <w:rPr>
          <w:rFonts w:hint="eastAsia" w:ascii="方正仿宋简体" w:hAnsi="Times New Roman" w:eastAsia="方正仿宋简体"/>
          <w:b/>
          <w:color w:val="auto"/>
          <w:sz w:val="32"/>
          <w:szCs w:val="32"/>
          <w:highlight w:val="none"/>
        </w:rPr>
        <w:t>亿元以上项目</w:t>
      </w:r>
      <w:r>
        <w:rPr>
          <w:rFonts w:hint="eastAsia" w:ascii="方正仿宋简体" w:hAnsi="Times New Roman" w:eastAsia="方正仿宋简体"/>
          <w:b/>
          <w:color w:val="auto"/>
          <w:sz w:val="32"/>
          <w:szCs w:val="32"/>
          <w:highlight w:val="none"/>
          <w:lang w:val="en-US" w:eastAsia="zh-CN"/>
        </w:rPr>
        <w:t>121</w:t>
      </w:r>
      <w:r>
        <w:rPr>
          <w:rFonts w:hint="eastAsia" w:ascii="方正仿宋简体" w:hAnsi="Times New Roman" w:eastAsia="方正仿宋简体"/>
          <w:b/>
          <w:color w:val="auto"/>
          <w:sz w:val="32"/>
          <w:szCs w:val="32"/>
          <w:highlight w:val="none"/>
        </w:rPr>
        <w:t>个。新</w:t>
      </w:r>
      <w:r>
        <w:rPr>
          <w:rFonts w:hint="eastAsia" w:ascii="方正仿宋简体" w:hAnsi="Times New Roman" w:eastAsia="方正仿宋简体"/>
          <w:b/>
          <w:color w:val="auto"/>
          <w:sz w:val="32"/>
          <w:szCs w:val="32"/>
          <w:highlight w:val="none"/>
          <w:lang w:val="en-US" w:eastAsia="zh-CN"/>
        </w:rPr>
        <w:t>入库</w:t>
      </w:r>
      <w:r>
        <w:rPr>
          <w:rFonts w:hint="eastAsia" w:ascii="方正仿宋简体" w:hAnsi="Times New Roman" w:eastAsia="方正仿宋简体"/>
          <w:b/>
          <w:color w:val="auto"/>
          <w:sz w:val="32"/>
          <w:szCs w:val="32"/>
          <w:highlight w:val="none"/>
        </w:rPr>
        <w:t>项目</w:t>
      </w:r>
      <w:r>
        <w:rPr>
          <w:rFonts w:hint="eastAsia" w:ascii="方正仿宋简体" w:hAnsi="Times New Roman" w:eastAsia="方正仿宋简体"/>
          <w:b/>
          <w:color w:val="auto"/>
          <w:sz w:val="32"/>
          <w:szCs w:val="32"/>
          <w:highlight w:val="none"/>
          <w:lang w:val="en-US" w:eastAsia="zh-CN"/>
        </w:rPr>
        <w:t>100</w:t>
      </w:r>
      <w:r>
        <w:rPr>
          <w:rFonts w:hint="eastAsia" w:ascii="方正仿宋简体" w:hAnsi="Times New Roman" w:eastAsia="方正仿宋简体"/>
          <w:b/>
          <w:color w:val="auto"/>
          <w:sz w:val="32"/>
          <w:szCs w:val="32"/>
          <w:highlight w:val="none"/>
        </w:rPr>
        <w:t>个，其中亿元以上新</w:t>
      </w:r>
      <w:r>
        <w:rPr>
          <w:rFonts w:hint="eastAsia" w:ascii="方正仿宋简体" w:hAnsi="Times New Roman" w:eastAsia="方正仿宋简体"/>
          <w:b/>
          <w:color w:val="auto"/>
          <w:sz w:val="32"/>
          <w:szCs w:val="32"/>
          <w:highlight w:val="none"/>
          <w:lang w:val="en-US" w:eastAsia="zh-CN"/>
        </w:rPr>
        <w:t>入库</w:t>
      </w:r>
      <w:r>
        <w:rPr>
          <w:rFonts w:hint="eastAsia" w:ascii="方正仿宋简体" w:hAnsi="Times New Roman" w:eastAsia="方正仿宋简体"/>
          <w:b/>
          <w:color w:val="auto"/>
          <w:sz w:val="32"/>
          <w:szCs w:val="32"/>
          <w:highlight w:val="none"/>
        </w:rPr>
        <w:t>项目</w:t>
      </w:r>
      <w:r>
        <w:rPr>
          <w:rFonts w:hint="eastAsia" w:ascii="方正仿宋简体" w:hAnsi="Times New Roman" w:eastAsia="方正仿宋简体"/>
          <w:b/>
          <w:color w:val="auto"/>
          <w:sz w:val="32"/>
          <w:szCs w:val="32"/>
          <w:highlight w:val="none"/>
          <w:lang w:val="en-US" w:eastAsia="zh-CN"/>
        </w:rPr>
        <w:t>57</w:t>
      </w:r>
      <w:r>
        <w:rPr>
          <w:rFonts w:hint="eastAsia" w:ascii="方正仿宋简体" w:hAnsi="Times New Roman" w:eastAsia="方正仿宋简体"/>
          <w:b/>
          <w:color w:val="auto"/>
          <w:sz w:val="32"/>
          <w:szCs w:val="32"/>
          <w:highlight w:val="none"/>
        </w:rPr>
        <w:t>个。</w:t>
      </w:r>
    </w:p>
    <w:p>
      <w:pPr>
        <w:pStyle w:val="3"/>
        <w:spacing w:line="240" w:lineRule="auto"/>
        <w:rPr>
          <w:rFonts w:hint="eastAsia" w:eastAsia="方正仿宋简体"/>
          <w:highlight w:val="none"/>
          <w:lang w:eastAsia="zh-CN"/>
        </w:rPr>
      </w:pPr>
      <w:r>
        <w:rPr>
          <w:highlight w:val="none"/>
        </w:rPr>
        <w:drawing>
          <wp:inline distT="0" distB="0" distL="114300" distR="114300">
            <wp:extent cx="5544820" cy="2736850"/>
            <wp:effectExtent l="4445" t="4445" r="13335" b="20955"/>
            <wp:docPr id="221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textAlignment w:val="auto"/>
        <w:rPr>
          <w:rFonts w:hint="eastAsia" w:ascii="方正仿宋简体" w:hAnsi="Times New Roman" w:eastAsia="方正仿宋简体"/>
          <w:b/>
          <w:color w:val="auto"/>
          <w:sz w:val="32"/>
          <w:szCs w:val="32"/>
          <w:highlight w:val="none"/>
          <w:lang w:eastAsia="zh-CN"/>
        </w:rPr>
      </w:pPr>
      <w:r>
        <w:rPr>
          <w:rFonts w:hint="eastAsia" w:ascii="方正楷体简体" w:hAnsi="Times New Roman" w:eastAsia="方正楷体简体"/>
          <w:b/>
          <w:color w:val="auto"/>
          <w:sz w:val="32"/>
          <w:szCs w:val="32"/>
          <w:highlight w:val="none"/>
        </w:rPr>
        <w:t>房地产市场</w:t>
      </w:r>
      <w:r>
        <w:rPr>
          <w:rFonts w:hint="eastAsia" w:ascii="方正楷体简体" w:hAnsi="Times New Roman" w:eastAsia="方正楷体简体"/>
          <w:b/>
          <w:color w:val="auto"/>
          <w:sz w:val="32"/>
          <w:szCs w:val="32"/>
          <w:highlight w:val="none"/>
          <w:lang w:val="en-US" w:eastAsia="zh-CN"/>
        </w:rPr>
        <w:t>总体好转</w:t>
      </w:r>
      <w:r>
        <w:rPr>
          <w:rFonts w:hint="eastAsia" w:ascii="方正楷体简体" w:hAnsi="Times New Roman" w:eastAsia="方正楷体简体"/>
          <w:b/>
          <w:color w:val="auto"/>
          <w:sz w:val="32"/>
          <w:szCs w:val="32"/>
          <w:highlight w:val="none"/>
        </w:rPr>
        <w:t>。</w:t>
      </w:r>
      <w:r>
        <w:rPr>
          <w:rFonts w:hint="eastAsia" w:ascii="方正仿宋简体" w:hAnsi="Times New Roman" w:eastAsia="方正仿宋简体"/>
          <w:b/>
          <w:color w:val="auto"/>
          <w:sz w:val="32"/>
          <w:szCs w:val="32"/>
          <w:highlight w:val="none"/>
        </w:rPr>
        <w:t>全县房地产开发投资完成</w:t>
      </w:r>
      <w:r>
        <w:rPr>
          <w:rFonts w:hint="eastAsia" w:ascii="方正仿宋简体" w:hAnsi="Times New Roman" w:eastAsia="方正仿宋简体"/>
          <w:b/>
          <w:color w:val="auto"/>
          <w:sz w:val="32"/>
          <w:szCs w:val="32"/>
          <w:highlight w:val="none"/>
          <w:lang w:val="en-US" w:eastAsia="zh-CN"/>
        </w:rPr>
        <w:t>30.4</w:t>
      </w:r>
      <w:r>
        <w:rPr>
          <w:rFonts w:hint="eastAsia" w:ascii="方正仿宋简体" w:hAnsi="Times New Roman" w:eastAsia="方正仿宋简体"/>
          <w:b/>
          <w:color w:val="auto"/>
          <w:sz w:val="32"/>
          <w:szCs w:val="32"/>
          <w:highlight w:val="none"/>
        </w:rPr>
        <w:t>亿元，同比</w:t>
      </w:r>
      <w:r>
        <w:rPr>
          <w:rFonts w:hint="eastAsia" w:ascii="方正仿宋简体" w:hAnsi="Times New Roman" w:eastAsia="方正仿宋简体"/>
          <w:b/>
          <w:color w:val="auto"/>
          <w:sz w:val="32"/>
          <w:szCs w:val="32"/>
          <w:highlight w:val="none"/>
          <w:lang w:val="en-US" w:eastAsia="zh-CN"/>
        </w:rPr>
        <w:t>下降9.8</w:t>
      </w:r>
      <w:r>
        <w:rPr>
          <w:rFonts w:hint="eastAsia" w:ascii="方正仿宋简体" w:hAnsi="Times New Roman" w:eastAsia="方正仿宋简体"/>
          <w:b/>
          <w:color w:val="auto"/>
          <w:sz w:val="32"/>
          <w:szCs w:val="32"/>
          <w:highlight w:val="none"/>
        </w:rPr>
        <w:t>%，其中：住宅投资</w:t>
      </w:r>
      <w:r>
        <w:rPr>
          <w:rFonts w:hint="eastAsia" w:ascii="方正仿宋简体" w:hAnsi="Times New Roman" w:eastAsia="方正仿宋简体"/>
          <w:b/>
          <w:color w:val="auto"/>
          <w:sz w:val="32"/>
          <w:szCs w:val="32"/>
          <w:highlight w:val="none"/>
          <w:lang w:val="en-US" w:eastAsia="zh-CN"/>
        </w:rPr>
        <w:t>28.8</w:t>
      </w:r>
      <w:r>
        <w:rPr>
          <w:rFonts w:hint="eastAsia" w:ascii="方正仿宋简体" w:hAnsi="Times New Roman" w:eastAsia="方正仿宋简体"/>
          <w:b/>
          <w:color w:val="auto"/>
          <w:sz w:val="32"/>
          <w:szCs w:val="32"/>
          <w:highlight w:val="none"/>
        </w:rPr>
        <w:t>亿元，同比</w:t>
      </w:r>
      <w:r>
        <w:rPr>
          <w:rFonts w:hint="eastAsia" w:ascii="方正仿宋简体" w:hAnsi="Times New Roman" w:eastAsia="方正仿宋简体"/>
          <w:b/>
          <w:color w:val="auto"/>
          <w:sz w:val="32"/>
          <w:szCs w:val="32"/>
          <w:highlight w:val="none"/>
          <w:lang w:val="en-US" w:eastAsia="zh-CN"/>
        </w:rPr>
        <w:t>下降0.7</w:t>
      </w:r>
      <w:r>
        <w:rPr>
          <w:rFonts w:hint="eastAsia" w:ascii="方正仿宋简体" w:hAnsi="Times New Roman" w:eastAsia="方正仿宋简体"/>
          <w:b/>
          <w:color w:val="auto"/>
          <w:sz w:val="32"/>
          <w:szCs w:val="32"/>
          <w:highlight w:val="none"/>
        </w:rPr>
        <w:t>%。商品房施工面积</w:t>
      </w:r>
      <w:r>
        <w:rPr>
          <w:rFonts w:hint="eastAsia" w:ascii="方正仿宋简体" w:hAnsi="Times New Roman" w:eastAsia="方正仿宋简体"/>
          <w:b/>
          <w:color w:val="auto"/>
          <w:sz w:val="32"/>
          <w:szCs w:val="32"/>
          <w:highlight w:val="none"/>
          <w:lang w:val="en-US" w:eastAsia="zh-CN"/>
        </w:rPr>
        <w:t>297.3</w:t>
      </w:r>
      <w:r>
        <w:rPr>
          <w:rFonts w:hint="eastAsia" w:ascii="方正仿宋简体" w:hAnsi="Times New Roman" w:eastAsia="方正仿宋简体"/>
          <w:b/>
          <w:color w:val="auto"/>
          <w:sz w:val="32"/>
          <w:szCs w:val="32"/>
          <w:highlight w:val="none"/>
        </w:rPr>
        <w:t>万平方米，同比</w:t>
      </w:r>
      <w:r>
        <w:rPr>
          <w:rFonts w:hint="eastAsia" w:ascii="方正仿宋简体" w:hAnsi="Times New Roman" w:eastAsia="方正仿宋简体"/>
          <w:b/>
          <w:color w:val="auto"/>
          <w:sz w:val="32"/>
          <w:szCs w:val="32"/>
          <w:highlight w:val="none"/>
          <w:lang w:val="en-US" w:eastAsia="zh-CN"/>
        </w:rPr>
        <w:t>下降16.9</w:t>
      </w:r>
      <w:r>
        <w:rPr>
          <w:rFonts w:hint="eastAsia" w:ascii="方正仿宋简体" w:hAnsi="Times New Roman" w:eastAsia="方正仿宋简体"/>
          <w:b/>
          <w:color w:val="auto"/>
          <w:sz w:val="32"/>
          <w:szCs w:val="32"/>
          <w:highlight w:val="none"/>
        </w:rPr>
        <w:t>%，竣工面积</w:t>
      </w:r>
      <w:r>
        <w:rPr>
          <w:rFonts w:hint="eastAsia" w:ascii="方正仿宋简体" w:hAnsi="Times New Roman" w:eastAsia="方正仿宋简体"/>
          <w:b/>
          <w:color w:val="auto"/>
          <w:sz w:val="32"/>
          <w:szCs w:val="32"/>
          <w:highlight w:val="none"/>
          <w:lang w:val="en-US" w:eastAsia="zh-CN"/>
        </w:rPr>
        <w:t>119</w:t>
      </w:r>
      <w:r>
        <w:rPr>
          <w:rFonts w:hint="eastAsia" w:ascii="方正仿宋简体" w:hAnsi="Times New Roman" w:eastAsia="方正仿宋简体"/>
          <w:b/>
          <w:color w:val="auto"/>
          <w:sz w:val="32"/>
          <w:szCs w:val="32"/>
          <w:highlight w:val="none"/>
        </w:rPr>
        <w:t>万平方米，同比增长</w:t>
      </w:r>
      <w:r>
        <w:rPr>
          <w:rFonts w:hint="eastAsia" w:ascii="方正仿宋简体" w:hAnsi="Times New Roman" w:eastAsia="方正仿宋简体"/>
          <w:b/>
          <w:color w:val="auto"/>
          <w:sz w:val="32"/>
          <w:szCs w:val="32"/>
          <w:highlight w:val="none"/>
          <w:lang w:val="en-US" w:eastAsia="zh-CN"/>
        </w:rPr>
        <w:t>100.8</w:t>
      </w:r>
      <w:r>
        <w:rPr>
          <w:rFonts w:hint="eastAsia" w:ascii="方正仿宋简体" w:hAnsi="Times New Roman" w:eastAsia="方正仿宋简体"/>
          <w:b/>
          <w:color w:val="auto"/>
          <w:sz w:val="32"/>
          <w:szCs w:val="32"/>
          <w:highlight w:val="none"/>
        </w:rPr>
        <w:t>%。商品房销售面积</w:t>
      </w:r>
      <w:r>
        <w:rPr>
          <w:rFonts w:hint="eastAsia" w:ascii="方正仿宋简体" w:hAnsi="Times New Roman" w:eastAsia="方正仿宋简体"/>
          <w:b/>
          <w:color w:val="auto"/>
          <w:sz w:val="32"/>
          <w:szCs w:val="32"/>
          <w:highlight w:val="none"/>
          <w:lang w:val="en-US" w:eastAsia="zh-CN"/>
        </w:rPr>
        <w:t>87.4</w:t>
      </w:r>
      <w:r>
        <w:rPr>
          <w:rFonts w:hint="eastAsia" w:ascii="方正仿宋简体" w:hAnsi="Times New Roman" w:eastAsia="方正仿宋简体"/>
          <w:b/>
          <w:color w:val="auto"/>
          <w:sz w:val="32"/>
          <w:szCs w:val="32"/>
          <w:highlight w:val="none"/>
        </w:rPr>
        <w:t>万平方米，同比</w:t>
      </w:r>
      <w:r>
        <w:rPr>
          <w:rFonts w:hint="eastAsia" w:ascii="方正仿宋简体" w:hAnsi="Times New Roman" w:eastAsia="方正仿宋简体"/>
          <w:b/>
          <w:color w:val="auto"/>
          <w:sz w:val="32"/>
          <w:szCs w:val="32"/>
          <w:highlight w:val="none"/>
          <w:lang w:val="en-US" w:eastAsia="zh-CN"/>
        </w:rPr>
        <w:t>增长2.7</w:t>
      </w:r>
      <w:r>
        <w:rPr>
          <w:rFonts w:hint="eastAsia" w:ascii="方正仿宋简体" w:hAnsi="Times New Roman" w:eastAsia="方正仿宋简体"/>
          <w:b/>
          <w:color w:val="auto"/>
          <w:sz w:val="32"/>
          <w:szCs w:val="32"/>
          <w:highlight w:val="none"/>
        </w:rPr>
        <w:t>%，其中：住宅销售面积</w:t>
      </w:r>
      <w:r>
        <w:rPr>
          <w:rFonts w:hint="eastAsia" w:ascii="方正仿宋简体" w:hAnsi="Times New Roman" w:eastAsia="方正仿宋简体"/>
          <w:b/>
          <w:color w:val="auto"/>
          <w:sz w:val="32"/>
          <w:szCs w:val="32"/>
          <w:highlight w:val="none"/>
          <w:lang w:val="en-US" w:eastAsia="zh-CN"/>
        </w:rPr>
        <w:t>77.2</w:t>
      </w:r>
      <w:r>
        <w:rPr>
          <w:rFonts w:hint="eastAsia" w:ascii="方正仿宋简体" w:hAnsi="Times New Roman" w:eastAsia="方正仿宋简体"/>
          <w:b/>
          <w:color w:val="auto"/>
          <w:sz w:val="32"/>
          <w:szCs w:val="32"/>
          <w:highlight w:val="none"/>
        </w:rPr>
        <w:t>万平方米，同比下降</w:t>
      </w:r>
      <w:r>
        <w:rPr>
          <w:rFonts w:hint="eastAsia" w:ascii="方正仿宋简体" w:hAnsi="Times New Roman" w:eastAsia="方正仿宋简体"/>
          <w:b/>
          <w:color w:val="auto"/>
          <w:sz w:val="32"/>
          <w:szCs w:val="32"/>
          <w:highlight w:val="none"/>
          <w:lang w:val="en-US" w:eastAsia="zh-CN"/>
        </w:rPr>
        <w:t>4.9</w:t>
      </w:r>
      <w:r>
        <w:rPr>
          <w:rFonts w:hint="eastAsia" w:ascii="方正仿宋简体" w:hAnsi="Times New Roman" w:eastAsia="方正仿宋简体"/>
          <w:b/>
          <w:color w:val="auto"/>
          <w:sz w:val="32"/>
          <w:szCs w:val="32"/>
          <w:highlight w:val="none"/>
        </w:rPr>
        <w:t>%。商品房销售额</w:t>
      </w:r>
      <w:r>
        <w:rPr>
          <w:rFonts w:hint="eastAsia" w:ascii="方正仿宋简体" w:hAnsi="Times New Roman" w:eastAsia="方正仿宋简体"/>
          <w:b/>
          <w:color w:val="auto"/>
          <w:sz w:val="32"/>
          <w:szCs w:val="32"/>
          <w:highlight w:val="none"/>
          <w:lang w:val="en-US" w:eastAsia="zh-CN"/>
        </w:rPr>
        <w:t>63.2</w:t>
      </w:r>
      <w:r>
        <w:rPr>
          <w:rFonts w:hint="eastAsia" w:ascii="方正仿宋简体" w:hAnsi="Times New Roman" w:eastAsia="方正仿宋简体"/>
          <w:b/>
          <w:color w:val="auto"/>
          <w:sz w:val="32"/>
          <w:szCs w:val="32"/>
          <w:highlight w:val="none"/>
        </w:rPr>
        <w:t>亿元，同比增长</w:t>
      </w:r>
      <w:r>
        <w:rPr>
          <w:rFonts w:hint="eastAsia" w:ascii="方正仿宋简体" w:hAnsi="Times New Roman" w:eastAsia="方正仿宋简体"/>
          <w:b/>
          <w:color w:val="auto"/>
          <w:sz w:val="32"/>
          <w:szCs w:val="32"/>
          <w:highlight w:val="none"/>
          <w:lang w:val="en-US" w:eastAsia="zh-CN"/>
        </w:rPr>
        <w:t>16.8</w:t>
      </w:r>
      <w:r>
        <w:rPr>
          <w:rFonts w:hint="eastAsia" w:ascii="方正仿宋简体" w:hAnsi="Times New Roman" w:eastAsia="方正仿宋简体"/>
          <w:b/>
          <w:color w:val="auto"/>
          <w:sz w:val="32"/>
          <w:szCs w:val="32"/>
          <w:highlight w:val="none"/>
        </w:rPr>
        <w:t>%；其中：住宅销售额</w:t>
      </w:r>
      <w:r>
        <w:rPr>
          <w:rFonts w:hint="eastAsia" w:ascii="方正仿宋简体" w:hAnsi="Times New Roman" w:eastAsia="方正仿宋简体"/>
          <w:b/>
          <w:color w:val="auto"/>
          <w:sz w:val="32"/>
          <w:szCs w:val="32"/>
          <w:highlight w:val="none"/>
          <w:lang w:val="en-US" w:eastAsia="zh-CN"/>
        </w:rPr>
        <w:t>51.6</w:t>
      </w:r>
      <w:r>
        <w:rPr>
          <w:rFonts w:hint="eastAsia" w:ascii="方正仿宋简体" w:hAnsi="Times New Roman" w:eastAsia="方正仿宋简体"/>
          <w:b/>
          <w:color w:val="auto"/>
          <w:sz w:val="32"/>
          <w:szCs w:val="32"/>
          <w:highlight w:val="none"/>
        </w:rPr>
        <w:t>亿元，增长1.4%。</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3" w:firstLineChars="200"/>
        <w:textAlignment w:val="auto"/>
        <w:rPr>
          <w:rFonts w:ascii="Times New Roman" w:hAnsi="Times New Roman" w:eastAsia="方正楷体简体"/>
          <w:b/>
          <w:sz w:val="32"/>
          <w:szCs w:val="32"/>
          <w:highlight w:val="none"/>
        </w:rPr>
      </w:pPr>
      <w:r>
        <w:rPr>
          <w:rFonts w:ascii="Times New Roman" w:hAnsi="Times New Roman" w:eastAsia="黑体"/>
          <w:b/>
          <w:sz w:val="32"/>
          <w:szCs w:val="32"/>
          <w:highlight w:val="none"/>
        </w:rPr>
        <w:t>五、国</w:t>
      </w:r>
      <w:r>
        <w:rPr>
          <w:rFonts w:hint="eastAsia" w:ascii="Times New Roman" w:hAnsi="Times New Roman" w:eastAsia="黑体"/>
          <w:b/>
          <w:sz w:val="32"/>
          <w:szCs w:val="32"/>
          <w:highlight w:val="none"/>
        </w:rPr>
        <w:t>内外</w:t>
      </w:r>
      <w:r>
        <w:rPr>
          <w:rFonts w:ascii="Times New Roman" w:hAnsi="Times New Roman" w:eastAsia="黑体"/>
          <w:b/>
          <w:sz w:val="32"/>
          <w:szCs w:val="32"/>
          <w:highlight w:val="none"/>
        </w:rPr>
        <w:t>贸易</w:t>
      </w:r>
      <w:r>
        <w:rPr>
          <w:rFonts w:hint="eastAsia" w:ascii="Times New Roman" w:hAnsi="Times New Roman" w:eastAsia="黑体"/>
          <w:b/>
          <w:sz w:val="32"/>
          <w:szCs w:val="32"/>
          <w:highlight w:val="none"/>
        </w:rPr>
        <w:t>和</w:t>
      </w:r>
      <w:r>
        <w:rPr>
          <w:rFonts w:ascii="Times New Roman" w:hAnsi="Times New Roman" w:eastAsia="黑体"/>
          <w:b/>
          <w:sz w:val="32"/>
          <w:szCs w:val="32"/>
          <w:highlight w:val="none"/>
        </w:rPr>
        <w:t>旅游</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3" w:firstLineChars="200"/>
        <w:textAlignment w:val="auto"/>
        <w:rPr>
          <w:rFonts w:hint="eastAsia" w:ascii="方正仿宋简体" w:hAnsi="Times New Roman" w:eastAsia="方正仿宋简体"/>
          <w:b/>
          <w:color w:val="auto"/>
          <w:sz w:val="32"/>
          <w:szCs w:val="32"/>
          <w:highlight w:val="none"/>
        </w:rPr>
      </w:pPr>
      <w:r>
        <w:rPr>
          <w:rFonts w:hint="eastAsia" w:ascii="方正楷体简体" w:hAnsi="Times New Roman" w:eastAsia="方正楷体简体"/>
          <w:b/>
          <w:color w:val="auto"/>
          <w:sz w:val="32"/>
          <w:szCs w:val="32"/>
          <w:highlight w:val="none"/>
        </w:rPr>
        <w:t>消费市场总体平稳。</w:t>
      </w:r>
      <w:r>
        <w:rPr>
          <w:rFonts w:hint="eastAsia" w:ascii="方正仿宋简体" w:hAnsi="Times New Roman" w:eastAsia="方正仿宋简体"/>
          <w:b/>
          <w:color w:val="auto"/>
          <w:sz w:val="32"/>
          <w:szCs w:val="32"/>
          <w:highlight w:val="none"/>
        </w:rPr>
        <w:t>全县社会消费品零售总额132.3亿元，同比下降0.1%。按经营地统计，城镇实现103.1亿元，乡村实现29.2亿元。按消费类型统计，商品零售实现107.8亿元，餐饮收入实现24.5亿元。按商品种类零售额统计，汽车类其中：新能源汽车增长101.1%，书报杂志类增长90.2%，文化办公用品类增长37.6%，化妆品类增长23.4%，家用电器和音像器材类下降2.1%，饮料类下降3.1%，粮油、食品类下降3.6%。</w:t>
      </w:r>
    </w:p>
    <w:p>
      <w:pPr>
        <w:pStyle w:val="4"/>
        <w:ind w:left="0" w:leftChars="0" w:firstLine="0" w:firstLineChars="0"/>
        <w:rPr>
          <w:rFonts w:hint="eastAsia" w:ascii="方正仿宋简体" w:hAnsi="Times New Roman" w:eastAsia="方正仿宋简体"/>
          <w:b/>
          <w:color w:val="auto"/>
          <w:sz w:val="32"/>
          <w:szCs w:val="32"/>
          <w:highlight w:val="none"/>
        </w:rPr>
      </w:pPr>
      <w:r>
        <w:rPr>
          <w:highlight w:val="none"/>
        </w:rPr>
        <w:drawing>
          <wp:inline distT="0" distB="0" distL="114300" distR="114300">
            <wp:extent cx="5541010" cy="3744595"/>
            <wp:effectExtent l="4445" t="4445" r="17145" b="22860"/>
            <wp:docPr id="222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hint="eastAsia" w:ascii="方正仿宋简体" w:hAnsi="Times New Roman" w:eastAsia="方正仿宋简体" w:cs="Times New Roman"/>
          <w:b/>
          <w:color w:val="auto"/>
          <w:sz w:val="32"/>
          <w:szCs w:val="32"/>
          <w:highlight w:val="none"/>
          <w:lang w:eastAsia="zh-CN"/>
        </w:rPr>
      </w:pPr>
      <w:r>
        <w:rPr>
          <w:rFonts w:hint="eastAsia" w:ascii="方正楷体简体" w:hAnsi="Times New Roman" w:eastAsia="方正楷体简体"/>
          <w:b/>
          <w:color w:val="auto"/>
          <w:sz w:val="32"/>
          <w:szCs w:val="32"/>
          <w:highlight w:val="none"/>
        </w:rPr>
        <w:t>对外贸易快速</w:t>
      </w:r>
      <w:r>
        <w:rPr>
          <w:rFonts w:hint="eastAsia" w:ascii="方正楷体简体" w:hAnsi="Times New Roman" w:eastAsia="方正楷体简体"/>
          <w:b/>
          <w:color w:val="auto"/>
          <w:sz w:val="32"/>
          <w:szCs w:val="32"/>
          <w:highlight w:val="none"/>
          <w:lang w:eastAsia="zh-CN"/>
        </w:rPr>
        <w:t>增长</w:t>
      </w:r>
      <w:r>
        <w:rPr>
          <w:rFonts w:hint="eastAsia" w:ascii="方正楷体简体" w:hAnsi="Times New Roman" w:eastAsia="方正楷体简体"/>
          <w:b/>
          <w:color w:val="auto"/>
          <w:sz w:val="32"/>
          <w:szCs w:val="32"/>
          <w:highlight w:val="none"/>
        </w:rPr>
        <w:t>。</w:t>
      </w:r>
      <w:r>
        <w:rPr>
          <w:rFonts w:hint="eastAsia" w:ascii="方正仿宋简体" w:hAnsi="Times New Roman" w:eastAsia="方正仿宋简体" w:cs="Times New Roman"/>
          <w:b/>
          <w:color w:val="auto"/>
          <w:sz w:val="32"/>
          <w:szCs w:val="32"/>
          <w:highlight w:val="none"/>
        </w:rPr>
        <w:t>全县进出口额完成37.4亿元、增长64.4%，其中：出口37.1亿元、增长64.9%，进口0.3亿元、下降6.7%。按企业性质分，民营企业进出口37.4亿元、增长64.4%；按贸易方式分，一般贸易进出口36.08亿元、增长64.9%，加工贸易进出口1.32亿元、增长51.7%。服务贸易进出口4.2亿元、增长61.5%，其中出口4.2亿元、增长61.5%。</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hint="eastAsia" w:ascii="方正仿宋简体" w:hAnsi="Times New Roman" w:eastAsia="方正仿宋简体" w:cs="Times New Roman"/>
          <w:b/>
          <w:color w:val="auto"/>
          <w:sz w:val="32"/>
          <w:szCs w:val="32"/>
          <w:highlight w:val="none"/>
          <w:lang w:eastAsia="zh-CN"/>
        </w:rPr>
      </w:pPr>
      <w:r>
        <w:rPr>
          <w:rFonts w:hint="eastAsia" w:ascii="方正楷体简体" w:hAnsi="Times New Roman" w:eastAsia="方正楷体简体" w:cs="Times New Roman"/>
          <w:b/>
          <w:color w:val="auto"/>
          <w:sz w:val="32"/>
          <w:szCs w:val="32"/>
          <w:highlight w:val="none"/>
        </w:rPr>
        <w:t>招商引资增势强劲</w:t>
      </w:r>
      <w:r>
        <w:rPr>
          <w:rFonts w:hint="eastAsia" w:ascii="方正楷体简体" w:hAnsi="Times New Roman" w:eastAsia="方正楷体简体"/>
          <w:b/>
          <w:color w:val="auto"/>
          <w:sz w:val="32"/>
          <w:szCs w:val="32"/>
          <w:highlight w:val="none"/>
        </w:rPr>
        <w:t>。</w:t>
      </w:r>
      <w:r>
        <w:rPr>
          <w:rFonts w:hint="eastAsia" w:ascii="方正仿宋简体" w:hAnsi="Times New Roman" w:eastAsia="方正仿宋简体" w:cs="Times New Roman"/>
          <w:b/>
          <w:color w:val="auto"/>
          <w:sz w:val="32"/>
          <w:szCs w:val="32"/>
          <w:highlight w:val="none"/>
        </w:rPr>
        <w:t>全县新设外商投资企业</w:t>
      </w:r>
      <w:r>
        <w:rPr>
          <w:rFonts w:hint="eastAsia" w:ascii="方正仿宋简体" w:hAnsi="Times New Roman" w:eastAsia="方正仿宋简体" w:cs="Times New Roman"/>
          <w:b/>
          <w:color w:val="auto"/>
          <w:sz w:val="32"/>
          <w:szCs w:val="32"/>
          <w:highlight w:val="none"/>
          <w:lang w:val="en-US" w:eastAsia="zh-CN"/>
        </w:rPr>
        <w:t>8</w:t>
      </w:r>
      <w:r>
        <w:rPr>
          <w:rFonts w:hint="eastAsia" w:ascii="方正仿宋简体" w:hAnsi="Times New Roman" w:eastAsia="方正仿宋简体" w:cs="Times New Roman"/>
          <w:b/>
          <w:color w:val="auto"/>
          <w:sz w:val="32"/>
          <w:szCs w:val="32"/>
          <w:highlight w:val="none"/>
        </w:rPr>
        <w:t>家，其中</w:t>
      </w:r>
      <w:r>
        <w:rPr>
          <w:rFonts w:hint="eastAsia" w:ascii="方正仿宋简体" w:hAnsi="Times New Roman" w:eastAsia="方正仿宋简体" w:cs="Times New Roman"/>
          <w:b/>
          <w:color w:val="auto"/>
          <w:sz w:val="32"/>
          <w:szCs w:val="32"/>
          <w:highlight w:val="none"/>
          <w:lang w:eastAsia="zh-CN"/>
        </w:rPr>
        <w:t>：</w:t>
      </w:r>
      <w:r>
        <w:rPr>
          <w:rFonts w:hint="eastAsia" w:ascii="方正仿宋简体" w:hAnsi="Times New Roman" w:eastAsia="方正仿宋简体" w:cs="Times New Roman"/>
          <w:b/>
          <w:color w:val="auto"/>
          <w:sz w:val="32"/>
          <w:szCs w:val="32"/>
          <w:highlight w:val="none"/>
        </w:rPr>
        <w:t>制造业企业</w:t>
      </w:r>
      <w:r>
        <w:rPr>
          <w:rFonts w:hint="eastAsia" w:ascii="方正仿宋简体" w:hAnsi="Times New Roman" w:eastAsia="方正仿宋简体" w:cs="Times New Roman"/>
          <w:b/>
          <w:color w:val="auto"/>
          <w:sz w:val="32"/>
          <w:szCs w:val="32"/>
          <w:highlight w:val="none"/>
          <w:lang w:val="en-US" w:eastAsia="zh-CN"/>
        </w:rPr>
        <w:t>5</w:t>
      </w:r>
      <w:r>
        <w:rPr>
          <w:rFonts w:hint="eastAsia" w:ascii="方正仿宋简体" w:hAnsi="Times New Roman" w:eastAsia="方正仿宋简体" w:cs="Times New Roman"/>
          <w:b/>
          <w:color w:val="auto"/>
          <w:sz w:val="32"/>
          <w:szCs w:val="32"/>
          <w:highlight w:val="none"/>
        </w:rPr>
        <w:t>家，服务业企业</w:t>
      </w:r>
      <w:r>
        <w:rPr>
          <w:rFonts w:hint="eastAsia" w:ascii="方正仿宋简体" w:hAnsi="Times New Roman" w:eastAsia="方正仿宋简体" w:cs="Times New Roman"/>
          <w:b/>
          <w:color w:val="auto"/>
          <w:sz w:val="32"/>
          <w:szCs w:val="32"/>
          <w:highlight w:val="none"/>
          <w:lang w:val="en-US" w:eastAsia="zh-CN"/>
        </w:rPr>
        <w:t>3</w:t>
      </w:r>
      <w:r>
        <w:rPr>
          <w:rFonts w:hint="eastAsia" w:ascii="方正仿宋简体" w:hAnsi="Times New Roman" w:eastAsia="方正仿宋简体" w:cs="Times New Roman"/>
          <w:b/>
          <w:color w:val="auto"/>
          <w:sz w:val="32"/>
          <w:szCs w:val="32"/>
          <w:highlight w:val="none"/>
        </w:rPr>
        <w:t>家。合同外资</w:t>
      </w:r>
      <w:r>
        <w:rPr>
          <w:rFonts w:hint="eastAsia" w:ascii="方正仿宋简体" w:hAnsi="Times New Roman" w:eastAsia="方正仿宋简体" w:cs="Times New Roman"/>
          <w:b/>
          <w:color w:val="auto"/>
          <w:sz w:val="32"/>
          <w:szCs w:val="32"/>
          <w:highlight w:val="none"/>
          <w:lang w:val="en-US" w:eastAsia="zh-CN"/>
        </w:rPr>
        <w:t>2.754</w:t>
      </w:r>
      <w:r>
        <w:rPr>
          <w:rFonts w:hint="eastAsia" w:ascii="方正仿宋简体" w:hAnsi="Times New Roman" w:eastAsia="方正仿宋简体" w:cs="Times New Roman"/>
          <w:b/>
          <w:color w:val="auto"/>
          <w:sz w:val="32"/>
          <w:szCs w:val="32"/>
          <w:highlight w:val="none"/>
        </w:rPr>
        <w:t>亿美元，同比增长</w:t>
      </w:r>
      <w:r>
        <w:rPr>
          <w:rFonts w:hint="eastAsia" w:ascii="方正仿宋简体" w:hAnsi="Times New Roman" w:eastAsia="方正仿宋简体" w:cs="Times New Roman"/>
          <w:b/>
          <w:color w:val="auto"/>
          <w:sz w:val="32"/>
          <w:szCs w:val="32"/>
          <w:highlight w:val="none"/>
          <w:lang w:val="en-US" w:eastAsia="zh-CN"/>
        </w:rPr>
        <w:t>48.06</w:t>
      </w:r>
      <w:r>
        <w:rPr>
          <w:rFonts w:hint="eastAsia" w:ascii="方正仿宋简体" w:hAnsi="Times New Roman" w:eastAsia="方正仿宋简体" w:cs="Times New Roman"/>
          <w:b/>
          <w:color w:val="auto"/>
          <w:sz w:val="32"/>
          <w:szCs w:val="32"/>
          <w:highlight w:val="none"/>
        </w:rPr>
        <w:t>％</w:t>
      </w:r>
      <w:r>
        <w:rPr>
          <w:rFonts w:hint="eastAsia" w:ascii="方正仿宋简体" w:hAnsi="Times New Roman" w:eastAsia="方正仿宋简体" w:cs="Times New Roman"/>
          <w:b/>
          <w:color w:val="auto"/>
          <w:sz w:val="32"/>
          <w:szCs w:val="32"/>
          <w:highlight w:val="none"/>
          <w:lang w:eastAsia="zh-CN"/>
        </w:rPr>
        <w:t>，</w:t>
      </w:r>
      <w:r>
        <w:rPr>
          <w:rFonts w:hint="eastAsia" w:ascii="方正仿宋简体" w:hAnsi="Times New Roman" w:eastAsia="方正仿宋简体" w:cs="Times New Roman"/>
          <w:b/>
          <w:color w:val="auto"/>
          <w:sz w:val="32"/>
          <w:szCs w:val="32"/>
          <w:highlight w:val="none"/>
          <w:lang w:val="en-US" w:eastAsia="zh-CN"/>
        </w:rPr>
        <w:t>合同外资金额</w:t>
      </w:r>
      <w:r>
        <w:rPr>
          <w:rFonts w:hint="eastAsia" w:ascii="方正仿宋简体" w:hAnsi="Times New Roman" w:eastAsia="方正仿宋简体" w:cs="Times New Roman"/>
          <w:b/>
          <w:color w:val="auto"/>
          <w:sz w:val="32"/>
          <w:szCs w:val="32"/>
          <w:highlight w:val="none"/>
        </w:rPr>
        <w:t>创历史新高。全年实际到位外资</w:t>
      </w:r>
      <w:r>
        <w:rPr>
          <w:rFonts w:hint="eastAsia" w:ascii="方正仿宋简体" w:hAnsi="Times New Roman" w:eastAsia="方正仿宋简体" w:cs="Times New Roman"/>
          <w:b/>
          <w:color w:val="auto"/>
          <w:sz w:val="32"/>
          <w:szCs w:val="32"/>
          <w:highlight w:val="none"/>
          <w:lang w:val="en-US" w:eastAsia="zh-CN"/>
        </w:rPr>
        <w:t>4689</w:t>
      </w:r>
      <w:r>
        <w:rPr>
          <w:rFonts w:hint="eastAsia" w:ascii="方正仿宋简体" w:hAnsi="Times New Roman" w:eastAsia="方正仿宋简体" w:cs="Times New Roman"/>
          <w:b/>
          <w:color w:val="auto"/>
          <w:sz w:val="32"/>
          <w:szCs w:val="32"/>
          <w:highlight w:val="none"/>
        </w:rPr>
        <w:t>万美元，</w:t>
      </w:r>
      <w:r>
        <w:rPr>
          <w:rFonts w:hint="eastAsia" w:ascii="方正仿宋简体" w:hAnsi="Times New Roman" w:eastAsia="方正仿宋简体" w:cs="Times New Roman"/>
          <w:b/>
          <w:color w:val="auto"/>
          <w:sz w:val="32"/>
          <w:szCs w:val="32"/>
          <w:highlight w:val="none"/>
          <w:lang w:eastAsia="zh-CN"/>
        </w:rPr>
        <w:t>同比增长</w:t>
      </w:r>
      <w:r>
        <w:rPr>
          <w:rFonts w:hint="eastAsia" w:ascii="方正仿宋简体" w:hAnsi="Times New Roman" w:eastAsia="方正仿宋简体" w:cs="Times New Roman"/>
          <w:b/>
          <w:color w:val="auto"/>
          <w:sz w:val="32"/>
          <w:szCs w:val="32"/>
          <w:highlight w:val="none"/>
          <w:lang w:val="en-US" w:eastAsia="zh-CN"/>
        </w:rPr>
        <w:t>9.63%。</w:t>
      </w:r>
      <w:r>
        <w:rPr>
          <w:rFonts w:hint="eastAsia" w:ascii="方正仿宋简体" w:hAnsi="Times New Roman" w:eastAsia="方正仿宋简体" w:cs="Times New Roman"/>
          <w:b/>
          <w:color w:val="auto"/>
          <w:sz w:val="32"/>
          <w:szCs w:val="32"/>
          <w:highlight w:val="none"/>
        </w:rPr>
        <w:t>其中：制造业实际利用外资</w:t>
      </w:r>
      <w:r>
        <w:rPr>
          <w:rFonts w:hint="eastAsia" w:ascii="方正仿宋简体" w:hAnsi="Times New Roman" w:eastAsia="方正仿宋简体" w:cs="Times New Roman"/>
          <w:b/>
          <w:color w:val="auto"/>
          <w:sz w:val="32"/>
          <w:szCs w:val="32"/>
          <w:highlight w:val="none"/>
          <w:lang w:val="en-US" w:eastAsia="zh-CN"/>
        </w:rPr>
        <w:t>3535</w:t>
      </w:r>
      <w:r>
        <w:rPr>
          <w:rFonts w:hint="eastAsia" w:ascii="方正仿宋简体" w:hAnsi="Times New Roman" w:eastAsia="方正仿宋简体" w:cs="Times New Roman"/>
          <w:b/>
          <w:color w:val="auto"/>
          <w:sz w:val="32"/>
          <w:szCs w:val="32"/>
          <w:highlight w:val="none"/>
        </w:rPr>
        <w:t>万美元，制造业利用外资比重大幅提升，占实际利用外资的</w:t>
      </w:r>
      <w:r>
        <w:rPr>
          <w:rFonts w:hint="eastAsia" w:ascii="方正仿宋简体" w:hAnsi="Times New Roman" w:eastAsia="方正仿宋简体" w:cs="Times New Roman"/>
          <w:b/>
          <w:color w:val="auto"/>
          <w:sz w:val="32"/>
          <w:szCs w:val="32"/>
          <w:highlight w:val="none"/>
          <w:lang w:val="en-US" w:eastAsia="zh-CN"/>
        </w:rPr>
        <w:t>75.39</w:t>
      </w:r>
      <w:r>
        <w:rPr>
          <w:rFonts w:hint="eastAsia" w:ascii="方正仿宋简体" w:hAnsi="Times New Roman" w:eastAsia="方正仿宋简体" w:cs="Times New Roman"/>
          <w:b/>
          <w:color w:val="auto"/>
          <w:sz w:val="32"/>
          <w:szCs w:val="32"/>
          <w:highlight w:val="none"/>
        </w:rPr>
        <w:t>%；服务业实际利用外资</w:t>
      </w:r>
      <w:r>
        <w:rPr>
          <w:rFonts w:hint="eastAsia" w:ascii="方正仿宋简体" w:hAnsi="Times New Roman" w:eastAsia="方正仿宋简体" w:cs="Times New Roman"/>
          <w:b/>
          <w:color w:val="auto"/>
          <w:sz w:val="32"/>
          <w:szCs w:val="32"/>
          <w:highlight w:val="none"/>
          <w:lang w:val="en-US" w:eastAsia="zh-CN"/>
        </w:rPr>
        <w:t>1154</w:t>
      </w:r>
      <w:r>
        <w:rPr>
          <w:rFonts w:hint="eastAsia" w:ascii="方正仿宋简体" w:hAnsi="Times New Roman" w:eastAsia="方正仿宋简体" w:cs="Times New Roman"/>
          <w:b/>
          <w:color w:val="auto"/>
          <w:sz w:val="32"/>
          <w:szCs w:val="32"/>
          <w:highlight w:val="none"/>
        </w:rPr>
        <w:t>万美元。</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3" w:firstLineChars="200"/>
        <w:textAlignment w:val="auto"/>
        <w:rPr>
          <w:rFonts w:hint="eastAsia" w:ascii="仿宋" w:hAnsi="仿宋" w:eastAsia="仿宋" w:cs="仿宋"/>
          <w:b/>
          <w:color w:val="auto"/>
          <w:sz w:val="32"/>
          <w:szCs w:val="32"/>
          <w:highlight w:val="none"/>
          <w:lang w:val="en-US"/>
        </w:rPr>
      </w:pPr>
      <w:r>
        <w:rPr>
          <w:rFonts w:hint="eastAsia" w:ascii="楷体" w:hAnsi="楷体" w:eastAsia="楷体" w:cs="楷体"/>
          <w:b/>
          <w:bCs/>
          <w:color w:val="auto"/>
          <w:kern w:val="44"/>
          <w:sz w:val="32"/>
          <w:szCs w:val="32"/>
          <w:highlight w:val="none"/>
          <w:lang w:val="en-US" w:eastAsia="zh-CN" w:bidi="ar-SA"/>
        </w:rPr>
        <w:t>旅游消费承压前行。</w:t>
      </w:r>
      <w:r>
        <w:rPr>
          <w:rFonts w:hint="eastAsia" w:ascii="仿宋" w:hAnsi="仿宋" w:eastAsia="仿宋" w:cs="仿宋"/>
          <w:b/>
          <w:color w:val="auto"/>
          <w:sz w:val="32"/>
          <w:szCs w:val="32"/>
          <w:highlight w:val="none"/>
          <w:lang w:val="en-US" w:eastAsia="zh-CN"/>
        </w:rPr>
        <w:t>全县旅游消费总额6.6亿元，接待游客260万人</w:t>
      </w:r>
      <w:r>
        <w:rPr>
          <w:rFonts w:hint="eastAsia" w:ascii="仿宋" w:hAnsi="仿宋" w:eastAsia="仿宋" w:cs="仿宋"/>
          <w:b/>
          <w:color w:val="auto"/>
          <w:sz w:val="32"/>
          <w:szCs w:val="32"/>
          <w:highlight w:val="none"/>
        </w:rPr>
        <w:t>次</w:t>
      </w:r>
      <w:r>
        <w:rPr>
          <w:rFonts w:hint="eastAsia" w:ascii="仿宋" w:hAnsi="仿宋" w:eastAsia="仿宋" w:cs="仿宋"/>
          <w:b/>
          <w:color w:val="auto"/>
          <w:sz w:val="32"/>
          <w:szCs w:val="32"/>
          <w:highlight w:val="none"/>
          <w:lang w:val="en-US" w:eastAsia="zh-CN"/>
        </w:rPr>
        <w:t>。</w:t>
      </w:r>
      <w:r>
        <w:rPr>
          <w:rFonts w:hint="eastAsia" w:ascii="仿宋" w:hAnsi="仿宋" w:eastAsia="仿宋" w:cs="仿宋"/>
          <w:b/>
          <w:color w:val="auto"/>
          <w:sz w:val="32"/>
          <w:szCs w:val="32"/>
          <w:highlight w:val="none"/>
        </w:rPr>
        <w:t>旅游市场主体质量稳步提升，新增</w:t>
      </w:r>
      <w:r>
        <w:rPr>
          <w:rFonts w:hint="eastAsia" w:ascii="仿宋" w:hAnsi="仿宋" w:eastAsia="仿宋" w:cs="仿宋"/>
          <w:b/>
          <w:color w:val="auto"/>
          <w:sz w:val="32"/>
          <w:szCs w:val="32"/>
          <w:highlight w:val="none"/>
          <w:lang w:val="en-US" w:eastAsia="zh-CN"/>
        </w:rPr>
        <w:t>山东省中小学研学旅行基地1家、2A级景区1家。</w:t>
      </w:r>
      <w:r>
        <w:rPr>
          <w:rFonts w:hint="eastAsia" w:ascii="仿宋" w:hAnsi="仿宋" w:eastAsia="仿宋" w:cs="仿宋"/>
          <w:b/>
          <w:color w:val="auto"/>
          <w:sz w:val="32"/>
          <w:szCs w:val="32"/>
          <w:highlight w:val="none"/>
        </w:rPr>
        <w:t>旅游品牌创建稳步推进，大路口乡被山东省文化和旅游厅列入山东省旅游民宿集聚区培育单位名单</w:t>
      </w:r>
      <w:r>
        <w:rPr>
          <w:rFonts w:hint="eastAsia" w:ascii="仿宋" w:hAnsi="仿宋" w:eastAsia="仿宋" w:cs="仿宋"/>
          <w:b/>
          <w:color w:val="auto"/>
          <w:sz w:val="32"/>
          <w:szCs w:val="32"/>
          <w:highlight w:val="none"/>
          <w:lang w:eastAsia="zh-CN"/>
        </w:rPr>
        <w:t>，水泊梁山景区被列为山东省生态旅游示范区创建单位，贾堌堆村被列为省级“乡村好时节”培育基地</w:t>
      </w:r>
      <w:r>
        <w:rPr>
          <w:rFonts w:hint="eastAsia" w:ascii="仿宋" w:hAnsi="仿宋" w:eastAsia="仿宋" w:cs="仿宋"/>
          <w:b/>
          <w:color w:val="auto"/>
          <w:sz w:val="32"/>
          <w:szCs w:val="32"/>
          <w:highlight w:val="none"/>
          <w:lang w:val="en-US" w:eastAsia="zh-CN"/>
        </w:rPr>
        <w:t>。</w:t>
      </w:r>
    </w:p>
    <w:p>
      <w:pPr>
        <w:widowControl/>
        <w:snapToGrid w:val="0"/>
        <w:spacing w:line="560" w:lineRule="exact"/>
        <w:ind w:firstLine="482" w:firstLineChars="150"/>
        <w:rPr>
          <w:rFonts w:hint="eastAsia" w:ascii="Times New Roman" w:hAnsi="Times New Roman" w:eastAsia="黑体"/>
          <w:b/>
          <w:sz w:val="32"/>
          <w:szCs w:val="32"/>
          <w:highlight w:val="none"/>
        </w:rPr>
      </w:pPr>
      <w:r>
        <w:rPr>
          <w:rFonts w:hint="eastAsia" w:ascii="Times New Roman" w:hAnsi="Times New Roman" w:eastAsia="黑体"/>
          <w:b/>
          <w:sz w:val="32"/>
          <w:szCs w:val="32"/>
          <w:highlight w:val="none"/>
        </w:rPr>
        <w:t>六</w:t>
      </w:r>
      <w:r>
        <w:rPr>
          <w:rFonts w:ascii="Times New Roman" w:hAnsi="Times New Roman" w:eastAsia="黑体"/>
          <w:b/>
          <w:sz w:val="32"/>
          <w:szCs w:val="32"/>
          <w:highlight w:val="none"/>
        </w:rPr>
        <w:t>、交通运输</w:t>
      </w:r>
      <w:r>
        <w:rPr>
          <w:rFonts w:hint="eastAsia" w:ascii="Times New Roman" w:hAnsi="Times New Roman" w:eastAsia="黑体"/>
          <w:b/>
          <w:sz w:val="32"/>
          <w:szCs w:val="32"/>
          <w:highlight w:val="none"/>
        </w:rPr>
        <w:t>和邮电业务</w:t>
      </w:r>
    </w:p>
    <w:p>
      <w:pPr>
        <w:pStyle w:val="12"/>
        <w:widowControl/>
        <w:spacing w:line="560" w:lineRule="exact"/>
        <w:ind w:firstLine="643" w:firstLineChars="200"/>
        <w:jc w:val="both"/>
        <w:rPr>
          <w:rFonts w:hint="eastAsia" w:ascii="方正仿宋简体" w:hAnsi="Times New Roman" w:eastAsia="方正仿宋简体" w:cs="Times New Roman"/>
          <w:b/>
          <w:color w:val="auto"/>
          <w:kern w:val="2"/>
          <w:sz w:val="32"/>
          <w:szCs w:val="32"/>
          <w:highlight w:val="none"/>
          <w:lang w:val="en-US" w:eastAsia="zh-CN" w:bidi="ar-SA"/>
        </w:rPr>
      </w:pPr>
      <w:r>
        <w:rPr>
          <w:rFonts w:hint="eastAsia" w:ascii="方正楷体简体" w:hAnsi="Times New Roman" w:eastAsia="方正楷体简体"/>
          <w:b/>
          <w:color w:val="auto"/>
          <w:sz w:val="32"/>
          <w:szCs w:val="32"/>
          <w:highlight w:val="none"/>
        </w:rPr>
        <w:t>交通运输</w:t>
      </w:r>
      <w:r>
        <w:rPr>
          <w:rFonts w:hint="eastAsia" w:ascii="方正楷体简体" w:hAnsi="Times New Roman" w:eastAsia="方正楷体简体"/>
          <w:b/>
          <w:color w:val="auto"/>
          <w:sz w:val="32"/>
          <w:szCs w:val="32"/>
          <w:highlight w:val="none"/>
          <w:lang w:eastAsia="zh-CN"/>
        </w:rPr>
        <w:t>业稳步发展</w:t>
      </w:r>
      <w:r>
        <w:rPr>
          <w:rFonts w:hint="eastAsia" w:ascii="方正楷体简体" w:hAnsi="Times New Roman" w:eastAsia="方正楷体简体"/>
          <w:b/>
          <w:color w:val="auto"/>
          <w:sz w:val="32"/>
          <w:szCs w:val="32"/>
          <w:highlight w:val="none"/>
        </w:rPr>
        <w:t>。</w:t>
      </w:r>
      <w:r>
        <w:rPr>
          <w:rFonts w:hint="eastAsia" w:ascii="方正仿宋简体" w:hAnsi="Times New Roman" w:eastAsia="方正仿宋简体" w:cs="Times New Roman"/>
          <w:b/>
          <w:color w:val="auto"/>
          <w:kern w:val="2"/>
          <w:sz w:val="32"/>
          <w:szCs w:val="32"/>
          <w:highlight w:val="none"/>
          <w:lang w:val="en-US" w:eastAsia="zh-CN" w:bidi="ar-SA"/>
        </w:rPr>
        <w:t>全县新建改建农村公路里程59.589公里，年末公路总里程达2332.503公里，其中高速公路里程52.96公里、普通国道省道151.816公里、农村公路2127.727公里。公路旅客营运车辆591辆，其中：班线客车60辆，公交车531辆。</w:t>
      </w:r>
    </w:p>
    <w:p>
      <w:pPr>
        <w:pStyle w:val="12"/>
        <w:widowControl/>
        <w:spacing w:line="560" w:lineRule="exact"/>
        <w:ind w:firstLine="643" w:firstLineChars="200"/>
        <w:jc w:val="both"/>
        <w:rPr>
          <w:rFonts w:hint="eastAsia" w:ascii="方正仿宋简体" w:hAnsi="Times New Roman" w:eastAsia="方正仿宋简体" w:cs="Times New Roman"/>
          <w:b/>
          <w:color w:val="auto"/>
          <w:kern w:val="2"/>
          <w:sz w:val="32"/>
          <w:szCs w:val="32"/>
          <w:highlight w:val="none"/>
          <w:lang w:val="en-US" w:eastAsia="zh-CN" w:bidi="ar-SA"/>
        </w:rPr>
      </w:pPr>
      <w:r>
        <w:rPr>
          <w:rFonts w:hint="eastAsia" w:ascii="方正楷体简体" w:hAnsi="Times New Roman" w:eastAsia="方正楷体简体"/>
          <w:b/>
          <w:color w:val="auto"/>
          <w:sz w:val="32"/>
          <w:szCs w:val="32"/>
          <w:highlight w:val="none"/>
          <w:lang w:eastAsia="zh-CN"/>
        </w:rPr>
        <w:t>快递服务</w:t>
      </w:r>
      <w:r>
        <w:rPr>
          <w:rFonts w:hint="eastAsia" w:ascii="方正楷体简体" w:hAnsi="Times New Roman" w:eastAsia="方正楷体简体"/>
          <w:b/>
          <w:color w:val="auto"/>
          <w:sz w:val="32"/>
          <w:szCs w:val="32"/>
          <w:highlight w:val="none"/>
        </w:rPr>
        <w:t>业稳健发展。</w:t>
      </w:r>
      <w:r>
        <w:rPr>
          <w:rFonts w:hint="eastAsia" w:ascii="方正仿宋简体" w:hAnsi="Times New Roman" w:eastAsia="方正仿宋简体" w:cs="Times New Roman"/>
          <w:b/>
          <w:color w:val="auto"/>
          <w:kern w:val="2"/>
          <w:sz w:val="32"/>
          <w:szCs w:val="32"/>
          <w:highlight w:val="none"/>
          <w:lang w:val="en-US" w:eastAsia="zh-CN" w:bidi="ar-SA"/>
        </w:rPr>
        <w:t>全县快递服务企业业务量完成1515.28万件、增长4.65%，快递服务企业业务收入完成0.46亿元、增长0.03%。</w:t>
      </w:r>
    </w:p>
    <w:p>
      <w:pPr>
        <w:widowControl/>
        <w:snapToGrid w:val="0"/>
        <w:spacing w:line="560" w:lineRule="exact"/>
        <w:ind w:firstLine="643" w:firstLineChars="200"/>
        <w:rPr>
          <w:rFonts w:hint="eastAsia" w:ascii="方正仿宋简体" w:hAnsi="Times New Roman" w:eastAsia="方正仿宋简体" w:cs="Times New Roman"/>
          <w:b/>
          <w:color w:val="auto"/>
          <w:kern w:val="2"/>
          <w:sz w:val="32"/>
          <w:szCs w:val="32"/>
          <w:highlight w:val="none"/>
          <w:lang w:val="en-US" w:eastAsia="zh-CN" w:bidi="ar-SA"/>
        </w:rPr>
      </w:pPr>
      <w:r>
        <w:rPr>
          <w:rFonts w:hint="eastAsia" w:ascii="方正楷体简体" w:hAnsi="Times New Roman" w:eastAsia="方正楷体简体"/>
          <w:b/>
          <w:sz w:val="32"/>
          <w:szCs w:val="32"/>
          <w:highlight w:val="none"/>
        </w:rPr>
        <w:t>移动通讯较快发展。</w:t>
      </w:r>
      <w:r>
        <w:rPr>
          <w:rFonts w:hint="eastAsia" w:ascii="方正仿宋简体" w:hAnsi="Times New Roman" w:eastAsia="方正仿宋简体" w:cs="Times New Roman"/>
          <w:b/>
          <w:color w:val="auto"/>
          <w:kern w:val="2"/>
          <w:sz w:val="32"/>
          <w:szCs w:val="32"/>
          <w:highlight w:val="none"/>
          <w:lang w:val="en-US" w:eastAsia="zh-CN" w:bidi="ar-SA"/>
        </w:rPr>
        <w:t>全县年末固定电话用户2.64万户，其中：移动0.44万户、联通2.1万户、电信0.1万户。年末移动用户69.29万户，其中：移动41.01万户、联通20.38万户、电信7.9万户。年末互联网用户25.92万户，其中：移动10.53万户、联通8.39万户、电信7.0万户。</w:t>
      </w:r>
    </w:p>
    <w:p>
      <w:pPr>
        <w:snapToGrid w:val="0"/>
        <w:spacing w:line="560" w:lineRule="exact"/>
        <w:ind w:firstLine="643" w:firstLineChars="200"/>
        <w:rPr>
          <w:rFonts w:ascii="Times New Roman" w:hAnsi="Times New Roman" w:eastAsia="黑体"/>
          <w:b/>
          <w:sz w:val="32"/>
          <w:szCs w:val="32"/>
          <w:highlight w:val="none"/>
        </w:rPr>
      </w:pPr>
      <w:r>
        <w:rPr>
          <w:rFonts w:hint="eastAsia" w:ascii="Times New Roman" w:hAnsi="Times New Roman" w:eastAsia="黑体"/>
          <w:b/>
          <w:sz w:val="32"/>
          <w:szCs w:val="32"/>
          <w:highlight w:val="none"/>
        </w:rPr>
        <w:t>七</w:t>
      </w:r>
      <w:r>
        <w:rPr>
          <w:rFonts w:ascii="Times New Roman" w:hAnsi="Times New Roman" w:eastAsia="黑体"/>
          <w:b/>
          <w:sz w:val="32"/>
          <w:szCs w:val="32"/>
          <w:highlight w:val="none"/>
        </w:rPr>
        <w:t>、</w:t>
      </w:r>
      <w:r>
        <w:rPr>
          <w:rFonts w:ascii="黑体" w:hAnsi="黑体" w:eastAsia="黑体"/>
          <w:b/>
          <w:sz w:val="32"/>
          <w:szCs w:val="32"/>
          <w:highlight w:val="none"/>
        </w:rPr>
        <w:t>教</w:t>
      </w:r>
      <w:r>
        <w:rPr>
          <w:rFonts w:ascii="Times New Roman" w:hAnsi="Times New Roman" w:eastAsia="黑体"/>
          <w:b/>
          <w:sz w:val="32"/>
          <w:szCs w:val="32"/>
          <w:highlight w:val="none"/>
        </w:rPr>
        <w:t>育、科学技术和文化体育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楷体简体" w:hAnsi="Times New Roman" w:eastAsia="方正楷体简体" w:cs="Times New Roman"/>
          <w:b/>
          <w:color w:val="auto"/>
          <w:sz w:val="32"/>
          <w:szCs w:val="32"/>
          <w:highlight w:val="none"/>
        </w:rPr>
      </w:pPr>
      <w:r>
        <w:rPr>
          <w:rFonts w:hint="eastAsia" w:ascii="方正楷体简体" w:hAnsi="Times New Roman" w:eastAsia="方正楷体简体" w:cs="Times New Roman"/>
          <w:b/>
          <w:color w:val="auto"/>
          <w:sz w:val="32"/>
          <w:szCs w:val="32"/>
          <w:highlight w:val="none"/>
        </w:rPr>
        <w:t>教育</w:t>
      </w:r>
      <w:r>
        <w:rPr>
          <w:rFonts w:hint="eastAsia" w:ascii="方正楷体简体" w:hAnsi="Times New Roman" w:eastAsia="方正楷体简体" w:cs="Times New Roman"/>
          <w:b/>
          <w:color w:val="auto"/>
          <w:sz w:val="32"/>
          <w:szCs w:val="32"/>
          <w:highlight w:val="none"/>
          <w:lang w:val="en-US" w:eastAsia="zh-CN"/>
        </w:rPr>
        <w:t>水平明显提高</w:t>
      </w:r>
      <w:r>
        <w:rPr>
          <w:rFonts w:hint="eastAsia" w:ascii="方正楷体简体" w:hAnsi="Times New Roman" w:eastAsia="方正楷体简体" w:cs="Times New Roman"/>
          <w:b/>
          <w:color w:val="auto"/>
          <w:sz w:val="32"/>
          <w:szCs w:val="32"/>
          <w:highlight w:val="none"/>
        </w:rPr>
        <w:t>。</w:t>
      </w:r>
      <w:r>
        <w:rPr>
          <w:rFonts w:hint="eastAsia" w:ascii="方正仿宋简体" w:hAnsi="Times New Roman" w:eastAsia="方正仿宋简体" w:cs="Times New Roman"/>
          <w:b/>
          <w:color w:val="auto"/>
          <w:kern w:val="2"/>
          <w:sz w:val="32"/>
          <w:szCs w:val="32"/>
          <w:highlight w:val="none"/>
          <w:lang w:val="en-US" w:eastAsia="zh-CN" w:bidi="ar-SA"/>
        </w:rPr>
        <w:t>全县各级各类学校185所，在校生131658人。其中：高中学校4处，在校学生13433人；职业中专学校2处，在校学生3134人；特殊教育学校2所，在校残疾儿童217人；初中学校22处，小学152所，九年一贯制学校3所，初中在校生41955人，小学在校生72919人。全年登记注册幼儿园268所，其中：有9处省级示范幼儿园，40处省级一类幼儿园。全县3-6岁适龄在园幼儿27273人，普惠性幼儿园在园幼儿25670人，普惠性幼儿园在园幼儿覆盖率94.12%，公办园在园幼儿17312人，公办率为63.47%。全年累计招引教师347人（含备案制公办幼儿园教师100人），中小学在编教师达到6485名。2022年夏季高考本科上线人数达2536人，攀越2500人的历史新高；2022年春季高考，本科上线116人，创历史最高。中考500分以上人数达1957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简体" w:hAnsi="Times New Roman" w:eastAsia="方正仿宋简体" w:cs="Times New Roman"/>
          <w:b/>
          <w:color w:val="auto"/>
          <w:kern w:val="2"/>
          <w:sz w:val="32"/>
          <w:szCs w:val="32"/>
          <w:highlight w:val="none"/>
          <w:lang w:val="en-US" w:eastAsia="zh-CN" w:bidi="ar-SA"/>
        </w:rPr>
      </w:pPr>
      <w:r>
        <w:rPr>
          <w:rFonts w:hint="eastAsia" w:ascii="方正楷体简体" w:hAnsi="Times New Roman" w:eastAsia="方正楷体简体" w:cs="Times New Roman"/>
          <w:b/>
          <w:color w:val="auto"/>
          <w:sz w:val="32"/>
          <w:szCs w:val="32"/>
          <w:highlight w:val="none"/>
        </w:rPr>
        <w:t>体育事业</w:t>
      </w:r>
      <w:r>
        <w:rPr>
          <w:rFonts w:hint="eastAsia" w:ascii="方正楷体简体" w:hAnsi="Times New Roman" w:eastAsia="方正楷体简体" w:cs="Times New Roman"/>
          <w:b/>
          <w:color w:val="auto"/>
          <w:sz w:val="32"/>
          <w:szCs w:val="32"/>
          <w:highlight w:val="none"/>
          <w:lang w:val="en-US" w:eastAsia="zh-CN"/>
        </w:rPr>
        <w:t>取得突破</w:t>
      </w:r>
      <w:r>
        <w:rPr>
          <w:rFonts w:hint="eastAsia" w:ascii="方正楷体简体" w:hAnsi="Times New Roman" w:eastAsia="方正楷体简体" w:cs="Times New Roman"/>
          <w:b/>
          <w:color w:val="auto"/>
          <w:sz w:val="32"/>
          <w:szCs w:val="32"/>
          <w:highlight w:val="none"/>
        </w:rPr>
        <w:t>。</w:t>
      </w:r>
      <w:r>
        <w:rPr>
          <w:rFonts w:hint="eastAsia" w:ascii="方正仿宋简体" w:hAnsi="Times New Roman" w:eastAsia="方正仿宋简体" w:cs="Times New Roman"/>
          <w:b/>
          <w:color w:val="auto"/>
          <w:kern w:val="2"/>
          <w:sz w:val="32"/>
          <w:szCs w:val="32"/>
          <w:highlight w:val="none"/>
          <w:lang w:val="en-US" w:eastAsia="zh-CN" w:bidi="ar-SA"/>
        </w:rPr>
        <w:t>成功举办“梁山县第十二届全民健身运动会”职工象棋、围棋、羽毛球、足球等9场群众体育比赛，组队参加济宁市第十二届全民健身运动会轮滑、跳绳、乒乓球等14个单项比赛。综合体育馆和健身中心免费开放，对翠屏家园、黄河新苑、杏花村社区、汤垓村等21个新建广场配发健身器材共218件，对拳铺镇老旧损坏健身器材逐步维修更新，新成立县级体育协会、俱乐部1家，新培训社会体育指导员200人。青少年竞技体育事业蓬勃发展，不断加强对县业余体校训练基地的管理工作，2022年山东省第25届运动会中，获得金牌4枚，银牌4枚，铜牌2枚。在全国散打锦标赛中获得一个铜牌和一个第五名！代表济宁市参加山东省第五届老年人太极拳比赛，今年共举办太极拳、健身腰鼓、气排球、柔力球等培训班12次，培训人员722人次。全年完成体育彩票销售7049万元，其中大乐透销售1308万元，即开销售369万元，竞彩销量达到4798万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3" w:firstLineChars="200"/>
        <w:textAlignment w:val="auto"/>
        <w:rPr>
          <w:rFonts w:hint="eastAsia" w:ascii="仿宋" w:hAnsi="仿宋" w:eastAsia="仿宋" w:cs="仿宋"/>
          <w:b/>
          <w:bCs/>
          <w:color w:val="auto"/>
          <w:sz w:val="32"/>
          <w:szCs w:val="32"/>
          <w:highlight w:val="none"/>
          <w:lang w:eastAsia="zh-CN"/>
        </w:rPr>
      </w:pPr>
      <w:r>
        <w:rPr>
          <w:rFonts w:hint="eastAsia" w:ascii="楷体" w:hAnsi="楷体" w:eastAsia="楷体" w:cs="楷体"/>
          <w:b/>
          <w:color w:val="auto"/>
          <w:sz w:val="32"/>
          <w:szCs w:val="32"/>
          <w:highlight w:val="none"/>
        </w:rPr>
        <w:t>科技实力不断提升。</w:t>
      </w:r>
      <w:r>
        <w:rPr>
          <w:rFonts w:hint="eastAsia" w:ascii="仿宋" w:hAnsi="仿宋" w:eastAsia="仿宋" w:cs="仿宋"/>
          <w:b/>
          <w:color w:val="auto"/>
          <w:kern w:val="2"/>
          <w:sz w:val="32"/>
          <w:szCs w:val="32"/>
          <w:highlight w:val="none"/>
          <w:lang w:val="en-US" w:eastAsia="zh-CN" w:bidi="ar-SA"/>
        </w:rPr>
        <w:t>全县入库科技型中小企业109家，国家高新技术企业净增40家，总数达118家。</w:t>
      </w:r>
      <w:r>
        <w:rPr>
          <w:rFonts w:hint="default" w:ascii="仿宋" w:hAnsi="仿宋" w:eastAsia="仿宋" w:cs="仿宋"/>
          <w:b/>
          <w:color w:val="auto"/>
          <w:kern w:val="2"/>
          <w:sz w:val="32"/>
          <w:szCs w:val="32"/>
          <w:highlight w:val="none"/>
          <w:lang w:val="en-US" w:eastAsia="zh-CN" w:bidi="ar-SA"/>
        </w:rPr>
        <w:t>2021年度</w:t>
      </w:r>
      <w:r>
        <w:rPr>
          <w:rFonts w:hint="eastAsia" w:ascii="仿宋" w:hAnsi="仿宋" w:eastAsia="仿宋" w:cs="仿宋"/>
          <w:b/>
          <w:color w:val="auto"/>
          <w:kern w:val="2"/>
          <w:sz w:val="32"/>
          <w:szCs w:val="32"/>
          <w:highlight w:val="none"/>
          <w:lang w:val="en-US" w:eastAsia="zh-CN" w:bidi="ar-SA"/>
        </w:rPr>
        <w:t>认定</w:t>
      </w:r>
      <w:r>
        <w:rPr>
          <w:rFonts w:hint="default" w:ascii="仿宋" w:hAnsi="仿宋" w:eastAsia="仿宋" w:cs="仿宋"/>
          <w:b/>
          <w:color w:val="auto"/>
          <w:kern w:val="2"/>
          <w:sz w:val="32"/>
          <w:szCs w:val="32"/>
          <w:highlight w:val="none"/>
          <w:lang w:val="en-US" w:eastAsia="zh-CN" w:bidi="ar-SA"/>
        </w:rPr>
        <w:t>研发投入4.12亿元，</w:t>
      </w:r>
      <w:r>
        <w:rPr>
          <w:rFonts w:hint="eastAsia" w:ascii="仿宋" w:hAnsi="仿宋" w:eastAsia="仿宋" w:cs="仿宋"/>
          <w:b/>
          <w:color w:val="auto"/>
          <w:kern w:val="2"/>
          <w:sz w:val="32"/>
          <w:szCs w:val="32"/>
          <w:highlight w:val="none"/>
          <w:lang w:val="en-US" w:eastAsia="zh-CN" w:bidi="ar-SA"/>
        </w:rPr>
        <w:t>较上年增长10.16%。指导良福制药完成院士工作站续建工作。金榜苑</w:t>
      </w:r>
      <w:r>
        <w:rPr>
          <w:rFonts w:hint="default" w:ascii="仿宋" w:hAnsi="仿宋" w:eastAsia="仿宋" w:cs="仿宋"/>
          <w:b/>
          <w:color w:val="auto"/>
          <w:kern w:val="2"/>
          <w:sz w:val="32"/>
          <w:szCs w:val="32"/>
          <w:highlight w:val="none"/>
          <w:lang w:val="en-US" w:eastAsia="zh-CN" w:bidi="ar-SA"/>
        </w:rPr>
        <w:t>获批</w:t>
      </w:r>
      <w:r>
        <w:rPr>
          <w:rFonts w:hint="eastAsia" w:ascii="仿宋" w:hAnsi="仿宋" w:eastAsia="仿宋" w:cs="仿宋"/>
          <w:b/>
          <w:color w:val="auto"/>
          <w:kern w:val="2"/>
          <w:sz w:val="32"/>
          <w:szCs w:val="32"/>
          <w:highlight w:val="none"/>
          <w:lang w:val="en-US" w:eastAsia="zh-CN" w:bidi="ar-SA"/>
        </w:rPr>
        <w:t>省</w:t>
      </w:r>
      <w:r>
        <w:rPr>
          <w:rFonts w:hint="default" w:ascii="仿宋" w:hAnsi="仿宋" w:eastAsia="仿宋" w:cs="仿宋"/>
          <w:b/>
          <w:color w:val="auto"/>
          <w:kern w:val="2"/>
          <w:sz w:val="32"/>
          <w:szCs w:val="32"/>
          <w:highlight w:val="none"/>
          <w:lang w:val="en-US" w:eastAsia="zh-CN" w:bidi="ar-SA"/>
        </w:rPr>
        <w:t>文化和科技</w:t>
      </w:r>
      <w:r>
        <w:rPr>
          <w:rFonts w:hint="eastAsia" w:ascii="仿宋" w:hAnsi="仿宋" w:eastAsia="仿宋" w:cs="仿宋"/>
          <w:b/>
          <w:color w:val="auto"/>
          <w:kern w:val="2"/>
          <w:sz w:val="32"/>
          <w:szCs w:val="32"/>
          <w:highlight w:val="none"/>
          <w:lang w:val="en-US" w:eastAsia="zh-CN" w:bidi="ar-SA"/>
        </w:rPr>
        <w:t>融合</w:t>
      </w:r>
      <w:r>
        <w:rPr>
          <w:rFonts w:hint="default" w:ascii="仿宋" w:hAnsi="仿宋" w:eastAsia="仿宋" w:cs="仿宋"/>
          <w:b/>
          <w:color w:val="auto"/>
          <w:kern w:val="2"/>
          <w:sz w:val="32"/>
          <w:szCs w:val="32"/>
          <w:highlight w:val="none"/>
          <w:lang w:val="en-US" w:eastAsia="zh-CN" w:bidi="ar-SA"/>
        </w:rPr>
        <w:t>示范基地</w:t>
      </w:r>
      <w:r>
        <w:rPr>
          <w:rFonts w:hint="eastAsia" w:ascii="仿宋" w:hAnsi="仿宋" w:eastAsia="仿宋" w:cs="仿宋"/>
          <w:b/>
          <w:color w:val="auto"/>
          <w:kern w:val="2"/>
          <w:sz w:val="32"/>
          <w:szCs w:val="32"/>
          <w:highlight w:val="none"/>
          <w:lang w:val="en-US" w:eastAsia="zh-CN" w:bidi="ar-SA"/>
        </w:rPr>
        <w:t>。招引大院大所3家。新增农业科技特派员10名，开展农业科技培训162人。全年与高等院校开展产学研对接活动8次。</w:t>
      </w:r>
    </w:p>
    <w:p>
      <w:pPr>
        <w:keepNext w:val="0"/>
        <w:keepLines w:val="0"/>
        <w:pageBreakBefore w:val="0"/>
        <w:kinsoku/>
        <w:wordWrap/>
        <w:overflowPunct/>
        <w:topLinePunct w:val="0"/>
        <w:autoSpaceDE/>
        <w:autoSpaceDN/>
        <w:bidi w:val="0"/>
        <w:adjustRightInd/>
        <w:snapToGrid w:val="0"/>
        <w:spacing w:line="560" w:lineRule="exact"/>
        <w:ind w:firstLine="643" w:firstLineChars="200"/>
        <w:jc w:val="both"/>
        <w:textAlignment w:val="auto"/>
        <w:rPr>
          <w:rFonts w:hint="eastAsia" w:ascii="方正仿宋简体" w:hAnsi="Times New Roman" w:eastAsia="方正仿宋简体" w:cs="Times New Roman"/>
          <w:b/>
          <w:color w:val="auto"/>
          <w:kern w:val="2"/>
          <w:sz w:val="32"/>
          <w:szCs w:val="32"/>
          <w:highlight w:val="none"/>
          <w:lang w:val="en-US" w:eastAsia="zh-CN" w:bidi="ar-SA"/>
        </w:rPr>
      </w:pPr>
      <w:r>
        <w:rPr>
          <w:rFonts w:hint="eastAsia" w:ascii="方正楷体简体" w:hAnsi="Times New Roman" w:eastAsia="方正楷体简体" w:cs="Times New Roman"/>
          <w:b/>
          <w:color w:val="auto"/>
          <w:sz w:val="32"/>
          <w:szCs w:val="32"/>
          <w:highlight w:val="none"/>
        </w:rPr>
        <w:drawing>
          <wp:anchor distT="0" distB="0" distL="114300" distR="114300" simplePos="0" relativeHeight="251659264" behindDoc="0" locked="0" layoutInCell="1" allowOverlap="1">
            <wp:simplePos x="0" y="0"/>
            <wp:positionH relativeFrom="column">
              <wp:posOffset>475615</wp:posOffset>
            </wp:positionH>
            <wp:positionV relativeFrom="page">
              <wp:posOffset>6314440</wp:posOffset>
            </wp:positionV>
            <wp:extent cx="4771390" cy="2484120"/>
            <wp:effectExtent l="4445" t="5080" r="5715" b="6350"/>
            <wp:wrapTopAndBottom/>
            <wp:docPr id="5" name="图表 4" descr="7b0a202020202263686172745265734964223a2022343732313236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楷体" w:hAnsi="楷体" w:eastAsia="楷体" w:cs="楷体"/>
          <w:b/>
          <w:bCs/>
          <w:color w:val="auto"/>
          <w:sz w:val="32"/>
          <w:szCs w:val="32"/>
          <w:highlight w:val="none"/>
          <w:shd w:val="clear" w:color="auto" w:fill="FFFFFF"/>
        </w:rPr>
        <w:t>人才支撑明显增强。</w:t>
      </w:r>
      <w:r>
        <w:rPr>
          <w:rFonts w:hint="eastAsia" w:ascii="方正仿宋简体" w:hAnsi="Times New Roman" w:eastAsia="方正仿宋简体" w:cs="Times New Roman"/>
          <w:b/>
          <w:color w:val="auto"/>
          <w:kern w:val="2"/>
          <w:sz w:val="32"/>
          <w:szCs w:val="32"/>
          <w:highlight w:val="none"/>
          <w:lang w:val="en-US" w:eastAsia="zh-CN" w:bidi="ar-SA"/>
        </w:rPr>
        <w:t>全县新增城镇就业3013人、完成市下达任务目标的120.52%。引进副教授以上高层次人才6名、重点产业紧缺人才123名，留学人员10名，引进青年人才2658余名；新增省博士后创新实践基地2家，新增高技能人才427人。</w:t>
      </w:r>
    </w:p>
    <w:p>
      <w:pPr>
        <w:pStyle w:val="3"/>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default" w:ascii="仿宋" w:hAnsi="仿宋" w:eastAsia="仿宋" w:cs="仿宋"/>
          <w:b/>
          <w:bCs w:val="0"/>
          <w:color w:val="auto"/>
          <w:kern w:val="2"/>
          <w:sz w:val="32"/>
          <w:szCs w:val="32"/>
          <w:highlight w:val="none"/>
          <w:lang w:val="en-US" w:eastAsia="zh-CN" w:bidi="ar-SA"/>
        </w:rPr>
      </w:pPr>
      <w:r>
        <w:rPr>
          <w:rFonts w:hint="eastAsia" w:ascii="楷体" w:hAnsi="楷体" w:eastAsia="楷体" w:cs="楷体"/>
          <w:b/>
          <w:color w:val="auto"/>
          <w:sz w:val="32"/>
          <w:szCs w:val="32"/>
          <w:highlight w:val="none"/>
        </w:rPr>
        <w:t>文化事业繁荣发展。</w:t>
      </w:r>
      <w:r>
        <w:rPr>
          <w:rFonts w:hint="eastAsia" w:ascii="仿宋" w:hAnsi="仿宋" w:eastAsia="仿宋" w:cs="仿宋"/>
          <w:b/>
          <w:bCs w:val="0"/>
          <w:color w:val="auto"/>
          <w:kern w:val="2"/>
          <w:sz w:val="32"/>
          <w:szCs w:val="32"/>
          <w:highlight w:val="none"/>
          <w:lang w:val="en-US" w:eastAsia="zh-CN" w:bidi="ar-SA"/>
        </w:rPr>
        <w:t>全县共</w:t>
      </w:r>
      <w:bookmarkStart w:id="0" w:name="_GoBack"/>
      <w:bookmarkEnd w:id="0"/>
      <w:r>
        <w:rPr>
          <w:rFonts w:hint="eastAsia" w:ascii="仿宋" w:hAnsi="仿宋" w:eastAsia="仿宋" w:cs="仿宋"/>
          <w:b/>
          <w:bCs w:val="0"/>
          <w:color w:val="auto"/>
          <w:kern w:val="2"/>
          <w:sz w:val="32"/>
          <w:szCs w:val="32"/>
          <w:highlight w:val="none"/>
          <w:lang w:val="en-US" w:eastAsia="zh-CN" w:bidi="ar-SA"/>
        </w:rPr>
        <w:t>有各类群众文艺队伍630余支。省级文化产业示范园区（基地）累计达1家，A级景区累计达6家。组织群众性文化活动4290余场、送戏下乡748场，专业艺术表演团体7个，艺术表演场馆2个。博物馆8个，公共图书馆1个，文化馆1个。全国重点文物保护单位1处，省级文物保护单位10处，市级文物保护单位9处，文物保护机构1个。原唱歌曲《双拥颂》在2022年山东省双拥主题文艺作品征集评选活动中荣获二等奖，摄影作品《英雄热土 忠义梁山》入选“礼乐山东·云层画卷”摄·影作品展</w:t>
      </w:r>
      <w:r>
        <w:rPr>
          <w:rFonts w:hint="eastAsia" w:ascii="仿宋" w:hAnsi="仿宋" w:eastAsia="仿宋" w:cs="仿宋"/>
          <w:b/>
          <w:bCs w:val="0"/>
          <w:color w:val="000000"/>
          <w:sz w:val="32"/>
          <w:szCs w:val="32"/>
          <w:highlight w:val="none"/>
          <w:lang w:val="en-US" w:eastAsia="zh-CN"/>
        </w:rPr>
        <w:t>；情景小剧《杨志卖刀》移风易俗小戏《婆媳之间》在全市群众性小戏小剧“大擂台”活动中均获三等奖。</w:t>
      </w:r>
      <w:r>
        <w:rPr>
          <w:rFonts w:hint="eastAsia" w:ascii="仿宋" w:hAnsi="仿宋" w:eastAsia="仿宋" w:cs="仿宋"/>
          <w:b/>
          <w:bCs w:val="0"/>
          <w:color w:val="auto"/>
          <w:kern w:val="2"/>
          <w:sz w:val="32"/>
          <w:szCs w:val="32"/>
          <w:highlight w:val="none"/>
          <w:lang w:val="en-US" w:eastAsia="zh-CN" w:bidi="ar-SA"/>
        </w:rPr>
        <w:t>扶持梁山县戏剧家协会艺术团、梁山县水泊街道水泊丽影艺术团等4支队伍被评为2022年度济宁市优秀业余群众文化扶持队伍。</w:t>
      </w:r>
    </w:p>
    <w:p>
      <w:pPr>
        <w:keepNext w:val="0"/>
        <w:keepLines w:val="0"/>
        <w:pageBreakBefore w:val="0"/>
        <w:widowControl/>
        <w:kinsoku/>
        <w:wordWrap/>
        <w:overflowPunct/>
        <w:topLinePunct w:val="0"/>
        <w:autoSpaceDE/>
        <w:autoSpaceDN/>
        <w:bidi w:val="0"/>
        <w:adjustRightInd/>
        <w:snapToGrid w:val="0"/>
        <w:spacing w:line="560" w:lineRule="exact"/>
        <w:ind w:firstLine="803" w:firstLineChars="250"/>
        <w:jc w:val="both"/>
        <w:textAlignment w:val="auto"/>
        <w:rPr>
          <w:rFonts w:ascii="Times New Roman" w:hAnsi="Times New Roman" w:eastAsia="黑体"/>
          <w:b/>
          <w:sz w:val="32"/>
          <w:szCs w:val="32"/>
        </w:rPr>
      </w:pPr>
      <w:r>
        <w:rPr>
          <w:rFonts w:hint="eastAsia" w:ascii="Times New Roman" w:hAnsi="Times New Roman" w:eastAsia="黑体"/>
          <w:b/>
          <w:sz w:val="32"/>
          <w:szCs w:val="32"/>
        </w:rPr>
        <w:t>八</w:t>
      </w:r>
      <w:r>
        <w:rPr>
          <w:rFonts w:ascii="Times New Roman" w:hAnsi="Times New Roman" w:eastAsia="黑体"/>
          <w:b/>
          <w:sz w:val="32"/>
          <w:szCs w:val="32"/>
        </w:rPr>
        <w:t>、</w:t>
      </w:r>
      <w:r>
        <w:rPr>
          <w:rFonts w:hint="eastAsia" w:ascii="Times New Roman" w:hAnsi="Times New Roman" w:eastAsia="黑体"/>
          <w:b/>
          <w:sz w:val="32"/>
          <w:szCs w:val="32"/>
        </w:rPr>
        <w:t>卫生和</w:t>
      </w:r>
      <w:r>
        <w:rPr>
          <w:rFonts w:ascii="Times New Roman" w:hAnsi="Times New Roman" w:eastAsia="黑体"/>
          <w:b/>
          <w:sz w:val="32"/>
          <w:szCs w:val="32"/>
        </w:rPr>
        <w:t>居民生活保障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仿宋简体" w:hAnsi="Times New Roman" w:eastAsia="方正仿宋简体" w:cs="Times New Roman"/>
          <w:b/>
          <w:bCs w:val="0"/>
          <w:color w:val="auto"/>
          <w:kern w:val="2"/>
          <w:sz w:val="32"/>
          <w:szCs w:val="32"/>
          <w:highlight w:val="none"/>
          <w:lang w:val="en-US" w:eastAsia="zh-CN" w:bidi="ar-SA"/>
        </w:rPr>
      </w:pPr>
      <w:r>
        <w:rPr>
          <w:rFonts w:hint="eastAsia" w:ascii="方正楷体简体" w:hAnsi="Times New Roman" w:eastAsia="方正楷体简体" w:cs="Times New Roman"/>
          <w:b/>
          <w:bCs w:val="0"/>
          <w:color w:val="auto"/>
          <w:kern w:val="2"/>
          <w:sz w:val="32"/>
          <w:szCs w:val="32"/>
          <w:highlight w:val="none"/>
          <w:lang w:val="en-US" w:eastAsia="zh-CN" w:bidi="ar-SA"/>
        </w:rPr>
        <w:t>卫生事业扎实推进。</w:t>
      </w:r>
      <w:r>
        <w:rPr>
          <w:rFonts w:hint="eastAsia" w:ascii="方正仿宋简体" w:hAnsi="Times New Roman" w:eastAsia="方正仿宋简体" w:cs="Times New Roman"/>
          <w:b/>
          <w:bCs w:val="0"/>
          <w:color w:val="auto"/>
          <w:kern w:val="2"/>
          <w:sz w:val="32"/>
          <w:szCs w:val="32"/>
          <w:highlight w:val="none"/>
          <w:lang w:val="en-US" w:eastAsia="zh-CN" w:bidi="ar-SA"/>
        </w:rPr>
        <w:t>县人民医院新院区医养健康项目加快建设，梁山街道社区卫生服务中心新院区、县人民医院妇产儿科大楼投入使用，县中医院卫生应急中心2号楼完成主体工程，8家基层医疗卫生机构完成升级改造。各类卫生机构787个，其中：医院15个，基层医疗卫生机构766个，专业公共卫生机构4个，其他2个。各类卫生人员6002人，其中卫生技术人员4325人。卫生技术人员每千人口执业（助理）医师2.8人、千人口注册护士3.45人。医疗床位3480张，其中：医院2076张，基层医疗卫生机构1364张，千人口医疗机构床位数4.76张。</w:t>
      </w:r>
    </w:p>
    <w:p>
      <w:pPr>
        <w:keepNext w:val="0"/>
        <w:keepLines w:val="0"/>
        <w:pageBreakBefore w:val="0"/>
        <w:kinsoku/>
        <w:wordWrap/>
        <w:overflowPunct/>
        <w:topLinePunct w:val="0"/>
        <w:autoSpaceDE/>
        <w:autoSpaceDN/>
        <w:bidi w:val="0"/>
        <w:adjustRightInd/>
        <w:snapToGrid w:val="0"/>
        <w:spacing w:line="560" w:lineRule="exact"/>
        <w:ind w:firstLine="643" w:firstLineChars="200"/>
        <w:jc w:val="both"/>
        <w:textAlignment w:val="auto"/>
        <w:rPr>
          <w:rFonts w:hint="default" w:ascii="仿宋" w:hAnsi="仿宋" w:eastAsia="仿宋" w:cs="仿宋"/>
          <w:b/>
          <w:bCs w:val="0"/>
          <w:color w:val="auto"/>
          <w:kern w:val="2"/>
          <w:sz w:val="32"/>
          <w:szCs w:val="32"/>
          <w:highlight w:val="none"/>
          <w:lang w:val="en-US" w:eastAsia="zh-CN" w:bidi="ar-SA"/>
        </w:rPr>
      </w:pPr>
      <w:r>
        <w:rPr>
          <w:rFonts w:hint="eastAsia" w:ascii="楷体" w:hAnsi="楷体" w:eastAsia="楷体" w:cs="楷体"/>
          <w:b/>
          <w:color w:val="auto"/>
          <w:sz w:val="32"/>
          <w:szCs w:val="32"/>
          <w:highlight w:val="none"/>
        </w:rPr>
        <w:t>社会服务</w:t>
      </w:r>
      <w:r>
        <w:rPr>
          <w:rFonts w:hint="eastAsia" w:ascii="楷体" w:hAnsi="楷体" w:eastAsia="楷体" w:cs="楷体"/>
          <w:b/>
          <w:color w:val="auto"/>
          <w:sz w:val="32"/>
          <w:szCs w:val="32"/>
          <w:highlight w:val="none"/>
          <w:lang w:val="en-US" w:eastAsia="zh-CN"/>
        </w:rPr>
        <w:t>质效</w:t>
      </w:r>
      <w:r>
        <w:rPr>
          <w:rFonts w:hint="eastAsia" w:ascii="楷体" w:hAnsi="楷体" w:eastAsia="楷体" w:cs="楷体"/>
          <w:b/>
          <w:color w:val="auto"/>
          <w:sz w:val="32"/>
          <w:szCs w:val="32"/>
          <w:highlight w:val="none"/>
          <w:lang w:eastAsia="zh-CN"/>
        </w:rPr>
        <w:t>提</w:t>
      </w:r>
      <w:r>
        <w:rPr>
          <w:rFonts w:hint="eastAsia" w:ascii="楷体" w:hAnsi="楷体" w:eastAsia="楷体" w:cs="楷体"/>
          <w:b/>
          <w:color w:val="auto"/>
          <w:sz w:val="32"/>
          <w:szCs w:val="32"/>
          <w:highlight w:val="none"/>
          <w:lang w:val="en-US" w:eastAsia="zh-CN"/>
        </w:rPr>
        <w:t>升。</w:t>
      </w:r>
      <w:r>
        <w:rPr>
          <w:rFonts w:hint="eastAsia" w:ascii="仿宋" w:hAnsi="仿宋" w:eastAsia="仿宋" w:cs="仿宋"/>
          <w:b/>
          <w:bCs w:val="0"/>
          <w:color w:val="auto"/>
          <w:kern w:val="2"/>
          <w:sz w:val="32"/>
          <w:szCs w:val="32"/>
          <w:highlight w:val="none"/>
          <w:lang w:val="en-US" w:eastAsia="zh-CN" w:bidi="ar-SA"/>
        </w:rPr>
        <w:t>全县共设立养老服务机构共17处，其中：13处敬老院，4处民办医养结合老年公寓。全县建有社区养老服务设施80处，其中：社区日间照料中心11处，农村幸福院49处，老年人食堂20处，养老床位数达到5073张。实施“银龄安康”工程，为80周岁以上老年人发放高龄津贴。城乡低保标准分别提高到每人每月880元、700元。农村特困人员救助供养基本生活标准为每人每月910元；照料护理一档每人每月702元、二档351元、三档211元。保障城市低保269户，484人，投入城市低保资金397.6万元；保障农村低保7210户，14219人，投入农村低保资金7338.4万元；农村特困人员3590人，投入供养资金4906.4万元。投入医疗救助资金1892.2万元，救助住院困难群众30322人。</w:t>
      </w:r>
    </w:p>
    <w:p>
      <w:pPr>
        <w:keepNext w:val="0"/>
        <w:keepLines w:val="0"/>
        <w:pageBreakBefore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仿宋" w:cs="Times New Roman"/>
          <w:color w:val="auto"/>
          <w:kern w:val="0"/>
          <w:sz w:val="24"/>
          <w:szCs w:val="24"/>
          <w:highlight w:val="none"/>
          <w:lang w:val="en-US" w:eastAsia="zh-CN"/>
        </w:rPr>
      </w:pPr>
      <w:r>
        <w:rPr>
          <w:rFonts w:hint="eastAsia" w:ascii="方正楷体简体" w:hAnsi="Times New Roman" w:eastAsia="方正楷体简体"/>
          <w:b/>
          <w:sz w:val="32"/>
          <w:szCs w:val="32"/>
          <w:highlight w:val="none"/>
        </w:rPr>
        <w:t>社会保障</w:t>
      </w:r>
      <w:r>
        <w:rPr>
          <w:rFonts w:hint="eastAsia" w:ascii="方正楷体简体" w:hAnsi="Times New Roman" w:eastAsia="方正楷体简体"/>
          <w:b/>
          <w:sz w:val="32"/>
          <w:szCs w:val="32"/>
          <w:highlight w:val="none"/>
          <w:lang w:val="en-US" w:eastAsia="zh-CN"/>
        </w:rPr>
        <w:t>成就显著</w:t>
      </w:r>
      <w:r>
        <w:rPr>
          <w:rFonts w:hint="eastAsia" w:ascii="方正楷体简体" w:hAnsi="Times New Roman" w:eastAsia="方正楷体简体"/>
          <w:b/>
          <w:sz w:val="32"/>
          <w:szCs w:val="32"/>
          <w:highlight w:val="none"/>
        </w:rPr>
        <w:t>。</w:t>
      </w:r>
      <w:r>
        <w:rPr>
          <w:rFonts w:hint="eastAsia" w:ascii="方正仿宋简体" w:hAnsi="Times New Roman" w:eastAsia="方正仿宋简体" w:cs="Times New Roman"/>
          <w:b/>
          <w:bCs w:val="0"/>
          <w:color w:val="auto"/>
          <w:kern w:val="2"/>
          <w:sz w:val="32"/>
          <w:szCs w:val="32"/>
          <w:highlight w:val="none"/>
          <w:lang w:val="en-US" w:eastAsia="zh-CN" w:bidi="ar-SA"/>
        </w:rPr>
        <w:t>全县参加养老保险55.11万人，医疗保险74.1万人，失业保险参保缴费3.71万人，工伤保险参保4.75万人，生育保险3.91万人。全年分配保障性住房套数371套，完成率100%。发放城镇住房保障家庭租赁补贴424户，完成率848%。</w:t>
      </w:r>
    </w:p>
    <w:p>
      <w:pPr>
        <w:keepNext w:val="0"/>
        <w:keepLines w:val="0"/>
        <w:pageBreakBefore w:val="0"/>
        <w:widowControl/>
        <w:kinsoku/>
        <w:wordWrap/>
        <w:overflowPunct/>
        <w:topLinePunct w:val="0"/>
        <w:autoSpaceDE/>
        <w:autoSpaceDN/>
        <w:bidi w:val="0"/>
        <w:adjustRightInd/>
        <w:snapToGrid w:val="0"/>
        <w:spacing w:line="560" w:lineRule="exact"/>
        <w:ind w:firstLine="700" w:firstLineChars="218"/>
        <w:jc w:val="both"/>
        <w:textAlignment w:val="auto"/>
        <w:rPr>
          <w:rFonts w:ascii="Times New Roman" w:hAnsi="Times New Roman" w:eastAsia="黑体"/>
          <w:b/>
          <w:sz w:val="32"/>
          <w:szCs w:val="32"/>
          <w:highlight w:val="none"/>
        </w:rPr>
      </w:pPr>
      <w:r>
        <w:rPr>
          <w:rFonts w:hint="eastAsia" w:ascii="Times New Roman" w:hAnsi="Times New Roman" w:eastAsia="黑体"/>
          <w:b/>
          <w:sz w:val="32"/>
          <w:szCs w:val="32"/>
          <w:highlight w:val="none"/>
        </w:rPr>
        <w:t>九</w:t>
      </w:r>
      <w:r>
        <w:rPr>
          <w:rFonts w:ascii="Times New Roman" w:hAnsi="Times New Roman" w:eastAsia="黑体"/>
          <w:b/>
          <w:sz w:val="32"/>
          <w:szCs w:val="32"/>
          <w:highlight w:val="none"/>
        </w:rPr>
        <w:t>、城乡建设、环境和安全生产</w:t>
      </w:r>
    </w:p>
    <w:p>
      <w:pPr>
        <w:keepNext w:val="0"/>
        <w:keepLines w:val="0"/>
        <w:pageBreakBefore w:val="0"/>
        <w:kinsoku/>
        <w:wordWrap/>
        <w:overflowPunct/>
        <w:topLinePunct w:val="0"/>
        <w:autoSpaceDE/>
        <w:autoSpaceDN/>
        <w:bidi w:val="0"/>
        <w:adjustRightInd/>
        <w:snapToGrid w:val="0"/>
        <w:spacing w:line="560" w:lineRule="exact"/>
        <w:ind w:firstLine="643" w:firstLineChars="200"/>
        <w:jc w:val="both"/>
        <w:textAlignment w:val="auto"/>
        <w:rPr>
          <w:rFonts w:hint="eastAsia" w:ascii="方正仿宋简体" w:hAnsi="Times New Roman" w:eastAsia="方正仿宋简体" w:cs="Times New Roman"/>
          <w:b/>
          <w:bCs w:val="0"/>
          <w:color w:val="auto"/>
          <w:kern w:val="2"/>
          <w:sz w:val="32"/>
          <w:szCs w:val="32"/>
          <w:highlight w:val="yellow"/>
          <w:lang w:val="en-US" w:eastAsia="zh-CN" w:bidi="ar-SA"/>
        </w:rPr>
      </w:pPr>
      <w:r>
        <w:rPr>
          <w:rFonts w:hint="eastAsia" w:ascii="楷体" w:hAnsi="楷体" w:eastAsia="楷体" w:cs="楷体"/>
          <w:b/>
          <w:sz w:val="32"/>
          <w:szCs w:val="32"/>
          <w:highlight w:val="none"/>
          <w:lang w:eastAsia="zh-CN"/>
        </w:rPr>
        <w:t>城市建设成效</w:t>
      </w:r>
      <w:r>
        <w:rPr>
          <w:rFonts w:hint="eastAsia" w:ascii="楷体" w:hAnsi="楷体" w:eastAsia="楷体" w:cs="楷体"/>
          <w:b/>
          <w:sz w:val="32"/>
          <w:szCs w:val="32"/>
          <w:highlight w:val="none"/>
          <w:lang w:val="en-US" w:eastAsia="zh-CN"/>
        </w:rPr>
        <w:t>凸</w:t>
      </w:r>
      <w:r>
        <w:rPr>
          <w:rFonts w:hint="eastAsia" w:ascii="楷体" w:hAnsi="楷体" w:eastAsia="楷体" w:cs="楷体"/>
          <w:b/>
          <w:sz w:val="32"/>
          <w:szCs w:val="32"/>
          <w:highlight w:val="none"/>
          <w:lang w:eastAsia="zh-CN"/>
        </w:rPr>
        <w:t>现</w:t>
      </w:r>
      <w:r>
        <w:rPr>
          <w:rFonts w:hint="eastAsia" w:ascii="楷体" w:hAnsi="楷体" w:eastAsia="楷体" w:cs="楷体"/>
          <w:b/>
          <w:sz w:val="32"/>
          <w:szCs w:val="32"/>
          <w:highlight w:val="none"/>
        </w:rPr>
        <w:t>。</w:t>
      </w:r>
      <w:r>
        <w:rPr>
          <w:rFonts w:hint="eastAsia" w:ascii="仿宋" w:hAnsi="仿宋" w:eastAsia="仿宋" w:cs="仿宋"/>
          <w:b/>
          <w:bCs w:val="0"/>
          <w:color w:val="auto"/>
          <w:kern w:val="2"/>
          <w:sz w:val="32"/>
          <w:szCs w:val="32"/>
          <w:highlight w:val="none"/>
          <w:lang w:val="en-US" w:eastAsia="zh-CN" w:bidi="ar-SA"/>
        </w:rPr>
        <w:t>主城区、新城区、商务区“三区”协同，精致精美城市整体推进。城市基础设施持续提升。凤山桥、龟山桥建成通车，永宁桥正在加速推进。8条市政道路升级改造，新建智慧立体停车场1处、充电桩290个。城市功能日益完善。春园龟山古塔已完成，已对市民开放；全民健身中心项目体育馆主体已完成，正在进行室内装修；县医院医疗康养项目病房楼正在进行主体施工，康养区9#、11#、12#、13#楼主体结构全部完成验收；济梁路升级改造工程路面和雨污管网已完成80%，绿化完成30%，亮化完成60%。新城区继续完善城市路网建设，泰山路东延，金线岭路南延，天魁路西延打通3条断头路，应急修复城市排水体系，完善雨水排放管网修复，污水管网修复4公里。老旧小区加快改造，棚户区改造回迁安置753户、安置面积10.16万平方米。城市商品房开发面积297.3万平方米（施工面积）同比下降16.9%。公园，绿地不断增加，公明坊商业街即将投入运营。新增绿化面积55公顷。绿化整治裸露地81453平方米。</w:t>
      </w:r>
    </w:p>
    <w:p>
      <w:pPr>
        <w:keepNext w:val="0"/>
        <w:keepLines w:val="0"/>
        <w:pageBreakBefore w:val="0"/>
        <w:kinsoku/>
        <w:wordWrap/>
        <w:overflowPunct/>
        <w:topLinePunct w:val="0"/>
        <w:autoSpaceDE/>
        <w:autoSpaceDN/>
        <w:bidi w:val="0"/>
        <w:adjustRightInd/>
        <w:snapToGrid w:val="0"/>
        <w:spacing w:line="560" w:lineRule="exact"/>
        <w:ind w:firstLine="643" w:firstLineChars="200"/>
        <w:jc w:val="both"/>
        <w:textAlignment w:val="auto"/>
        <w:rPr>
          <w:rFonts w:hint="eastAsia" w:ascii="方正仿宋简体" w:hAnsi="Times New Roman" w:eastAsia="方正仿宋简体" w:cs="Times New Roman"/>
          <w:b/>
          <w:bCs w:val="0"/>
          <w:color w:val="auto"/>
          <w:kern w:val="2"/>
          <w:sz w:val="32"/>
          <w:szCs w:val="32"/>
          <w:highlight w:val="none"/>
          <w:lang w:val="en-US" w:eastAsia="zh-CN" w:bidi="ar-SA"/>
        </w:rPr>
      </w:pPr>
      <w:r>
        <w:rPr>
          <w:rFonts w:hint="eastAsia" w:ascii="楷体" w:hAnsi="楷体" w:eastAsia="楷体" w:cs="楷体"/>
          <w:b/>
          <w:sz w:val="32"/>
          <w:szCs w:val="32"/>
          <w:highlight w:val="none"/>
          <w:lang w:val="en-US" w:eastAsia="zh-CN"/>
        </w:rPr>
        <w:t>城村面貌焕然一新。</w:t>
      </w:r>
      <w:r>
        <w:rPr>
          <w:rFonts w:hint="eastAsia" w:ascii="仿宋" w:hAnsi="仿宋" w:eastAsia="仿宋" w:cs="仿宋"/>
          <w:b/>
          <w:bCs w:val="0"/>
          <w:color w:val="auto"/>
          <w:kern w:val="2"/>
          <w:sz w:val="32"/>
          <w:szCs w:val="32"/>
          <w:highlight w:val="none"/>
          <w:lang w:val="en-US" w:eastAsia="zh-CN" w:bidi="ar-SA"/>
        </w:rPr>
        <w:t>完成农村厕所改造1250户，完成率125%；完成农村危房改造117户、竣工率100%。指导大路口乡贾固堆村成功申报中国传统村落（国家级）；协助指导马营镇成功申报马营稀土特色产业小镇；指导拳铺镇成功申报济宁市乡村公共服务能力示范镇。城乡环卫一体化实现镇域全覆盖、行政村覆盖率达100%，城乡生活垃圾分类覆盖率达100%。</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3" w:firstLineChars="200"/>
        <w:jc w:val="both"/>
        <w:textAlignment w:val="auto"/>
        <w:rPr>
          <w:rFonts w:hint="eastAsia" w:ascii="方正仿宋简体" w:hAnsi="Times New Roman" w:eastAsia="方正仿宋简体" w:cs="Times New Roman"/>
          <w:b/>
          <w:bCs w:val="0"/>
          <w:color w:val="auto"/>
          <w:kern w:val="2"/>
          <w:sz w:val="32"/>
          <w:szCs w:val="32"/>
          <w:highlight w:val="none"/>
          <w:lang w:val="en-US" w:eastAsia="zh-CN" w:bidi="ar-SA"/>
        </w:rPr>
      </w:pPr>
      <w:r>
        <w:rPr>
          <w:rFonts w:hint="eastAsia" w:ascii="楷体" w:hAnsi="楷体" w:eastAsia="楷体" w:cs="楷体"/>
          <w:b/>
          <w:bCs w:val="0"/>
          <w:color w:val="auto"/>
          <w:kern w:val="2"/>
          <w:sz w:val="32"/>
          <w:szCs w:val="32"/>
          <w:highlight w:val="none"/>
          <w:lang w:val="en-US" w:eastAsia="zh-CN" w:bidi="ar-SA"/>
        </w:rPr>
        <w:t>生态环境持续改善。</w:t>
      </w:r>
      <w:r>
        <w:rPr>
          <w:rFonts w:hint="eastAsia" w:ascii="仿宋" w:hAnsi="仿宋" w:eastAsia="仿宋" w:cs="仿宋"/>
          <w:b/>
          <w:bCs w:val="0"/>
          <w:color w:val="auto"/>
          <w:kern w:val="2"/>
          <w:sz w:val="32"/>
          <w:szCs w:val="32"/>
          <w:highlight w:val="none"/>
          <w:lang w:val="en-US" w:eastAsia="zh-CN" w:bidi="ar-SA"/>
        </w:rPr>
        <w:t>全县牢固树立“绿水青山就是金山银山”理念，全年PM2.5、PM10、二氧化硫、二氧化氮平均浓度同比分别下降14.3%、14%、25%、15.4%。新增2家绩效分级引领性企业。</w:t>
      </w:r>
    </w:p>
    <w:p>
      <w:pPr>
        <w:pStyle w:val="12"/>
        <w:widowControl/>
        <w:spacing w:line="560" w:lineRule="exact"/>
        <w:ind w:firstLine="643" w:firstLineChars="200"/>
        <w:rPr>
          <w:rFonts w:hint="eastAsia" w:ascii="仿宋" w:hAnsi="仿宋" w:eastAsia="仿宋" w:cs="仿宋"/>
          <w:b/>
          <w:bCs/>
          <w:sz w:val="32"/>
          <w:szCs w:val="32"/>
          <w:highlight w:val="none"/>
          <w:lang w:eastAsia="zh-CN"/>
        </w:rPr>
      </w:pPr>
      <w:r>
        <w:rPr>
          <w:rFonts w:hint="eastAsia" w:ascii="楷体" w:hAnsi="楷体" w:eastAsia="楷体" w:cs="楷体"/>
          <w:b/>
          <w:bCs w:val="0"/>
          <w:color w:val="auto"/>
          <w:kern w:val="2"/>
          <w:sz w:val="32"/>
          <w:szCs w:val="32"/>
          <w:highlight w:val="none"/>
          <w:lang w:val="en-US" w:eastAsia="zh-CN" w:bidi="ar-SA"/>
        </w:rPr>
        <w:t>安全生产总体平稳。</w:t>
      </w:r>
      <w:r>
        <w:rPr>
          <w:rFonts w:hint="eastAsia" w:ascii="仿宋" w:hAnsi="仿宋" w:eastAsia="仿宋" w:cs="仿宋"/>
          <w:b/>
          <w:sz w:val="32"/>
          <w:szCs w:val="32"/>
          <w:highlight w:val="none"/>
        </w:rPr>
        <w:t>全县全年共发生各类生产安全事故</w:t>
      </w:r>
      <w:r>
        <w:rPr>
          <w:rFonts w:ascii="仿宋" w:hAnsi="仿宋" w:eastAsia="仿宋" w:cs="仿宋"/>
          <w:b/>
          <w:sz w:val="32"/>
          <w:szCs w:val="32"/>
          <w:highlight w:val="none"/>
        </w:rPr>
        <w:t>4</w:t>
      </w:r>
      <w:r>
        <w:rPr>
          <w:rFonts w:hint="eastAsia" w:ascii="仿宋" w:hAnsi="仿宋" w:eastAsia="仿宋" w:cs="仿宋"/>
          <w:b/>
          <w:sz w:val="32"/>
          <w:szCs w:val="32"/>
          <w:highlight w:val="none"/>
        </w:rPr>
        <w:t>起，死亡</w:t>
      </w:r>
      <w:r>
        <w:rPr>
          <w:rFonts w:ascii="仿宋" w:hAnsi="仿宋" w:eastAsia="仿宋" w:cs="仿宋"/>
          <w:b/>
          <w:sz w:val="32"/>
          <w:szCs w:val="32"/>
          <w:highlight w:val="none"/>
        </w:rPr>
        <w:t>4</w:t>
      </w:r>
      <w:r>
        <w:rPr>
          <w:rFonts w:hint="eastAsia" w:ascii="仿宋" w:hAnsi="仿宋" w:eastAsia="仿宋" w:cs="仿宋"/>
          <w:b/>
          <w:sz w:val="32"/>
          <w:szCs w:val="32"/>
          <w:highlight w:val="none"/>
        </w:rPr>
        <w:t>人。亿元GDP生产安全事故死亡率</w:t>
      </w:r>
      <w:r>
        <w:rPr>
          <w:rFonts w:ascii="仿宋" w:hAnsi="仿宋" w:eastAsia="仿宋" w:cs="仿宋"/>
          <w:b/>
          <w:sz w:val="32"/>
          <w:szCs w:val="32"/>
          <w:highlight w:val="none"/>
        </w:rPr>
        <w:t>14.23</w:t>
      </w:r>
      <w:r>
        <w:rPr>
          <w:rFonts w:hint="eastAsia" w:ascii="仿宋" w:hAnsi="仿宋" w:eastAsia="仿宋" w:cs="仿宋"/>
          <w:b/>
          <w:sz w:val="32"/>
          <w:szCs w:val="32"/>
          <w:highlight w:val="none"/>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43" w:firstLineChars="200"/>
        <w:jc w:val="both"/>
        <w:textAlignment w:val="auto"/>
        <w:rPr>
          <w:rFonts w:hint="eastAsia" w:ascii="方正仿宋简体" w:hAnsi="Times New Roman" w:eastAsia="方正仿宋简体" w:cs="Times New Roman"/>
          <w:b/>
          <w:bCs w:val="0"/>
          <w:kern w:val="2"/>
          <w:sz w:val="32"/>
          <w:szCs w:val="32"/>
          <w:lang w:val="en-US" w:eastAsia="zh-CN" w:bidi="ar-SA"/>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43" w:firstLineChars="200"/>
        <w:jc w:val="both"/>
        <w:textAlignment w:val="auto"/>
        <w:rPr>
          <w:rFonts w:hint="eastAsia" w:ascii="方正仿宋简体" w:hAnsi="Times New Roman" w:eastAsia="方正仿宋简体" w:cs="Times New Roman"/>
          <w:b/>
          <w:bCs w:val="0"/>
          <w:kern w:val="2"/>
          <w:sz w:val="32"/>
          <w:szCs w:val="32"/>
          <w:lang w:val="en-US" w:eastAsia="zh-CN" w:bidi="ar-SA"/>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43" w:firstLineChars="200"/>
        <w:jc w:val="both"/>
        <w:textAlignment w:val="auto"/>
        <w:rPr>
          <w:rFonts w:hint="eastAsia" w:ascii="方正仿宋简体" w:hAnsi="Times New Roman" w:eastAsia="方正仿宋简体" w:cs="Times New Roman"/>
          <w:b/>
          <w:bCs w:val="0"/>
          <w:kern w:val="2"/>
          <w:sz w:val="32"/>
          <w:szCs w:val="32"/>
          <w:lang w:val="en-US" w:eastAsia="zh-CN" w:bidi="ar-SA"/>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43" w:firstLineChars="200"/>
        <w:jc w:val="both"/>
        <w:textAlignment w:val="auto"/>
        <w:rPr>
          <w:rFonts w:hint="eastAsia" w:ascii="方正仿宋简体" w:hAnsi="Times New Roman" w:eastAsia="方正仿宋简体" w:cs="Times New Roman"/>
          <w:b/>
          <w:bCs w:val="0"/>
          <w:kern w:val="2"/>
          <w:sz w:val="32"/>
          <w:szCs w:val="32"/>
          <w:lang w:val="en-US" w:eastAsia="zh-CN" w:bidi="ar-SA"/>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43" w:firstLineChars="200"/>
        <w:jc w:val="both"/>
        <w:textAlignment w:val="auto"/>
        <w:rPr>
          <w:rFonts w:hint="eastAsia" w:ascii="方正仿宋简体" w:hAnsi="Times New Roman" w:eastAsia="方正仿宋简体" w:cs="Times New Roman"/>
          <w:b/>
          <w:bCs w:val="0"/>
          <w:kern w:val="2"/>
          <w:sz w:val="32"/>
          <w:szCs w:val="32"/>
          <w:lang w:val="en-US" w:eastAsia="zh-CN" w:bidi="ar-SA"/>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43" w:firstLineChars="200"/>
        <w:jc w:val="both"/>
        <w:textAlignment w:val="auto"/>
        <w:rPr>
          <w:rFonts w:hint="eastAsia" w:ascii="方正仿宋简体" w:hAnsi="Times New Roman" w:eastAsia="方正仿宋简体" w:cs="Times New Roman"/>
          <w:b/>
          <w:bCs w:val="0"/>
          <w:kern w:val="2"/>
          <w:sz w:val="32"/>
          <w:szCs w:val="32"/>
          <w:lang w:val="en-US" w:eastAsia="zh-CN" w:bidi="ar-SA"/>
        </w:rPr>
      </w:pPr>
      <w:r>
        <w:rPr>
          <w:rFonts w:hint="eastAsia" w:ascii="方正仿宋简体" w:hAnsi="Times New Roman" w:eastAsia="方正仿宋简体" w:cs="Times New Roman"/>
          <w:b/>
          <w:bCs w:val="0"/>
          <w:kern w:val="2"/>
          <w:sz w:val="32"/>
          <w:szCs w:val="32"/>
          <w:lang w:val="en-US" w:eastAsia="zh-CN" w:bidi="ar-SA"/>
        </w:rPr>
        <w:t>附注: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43" w:firstLineChars="200"/>
        <w:jc w:val="both"/>
        <w:textAlignment w:val="auto"/>
        <w:rPr>
          <w:rFonts w:hint="default" w:ascii="方正仿宋简体" w:hAnsi="Times New Roman" w:eastAsia="方正仿宋简体" w:cs="Times New Roman"/>
          <w:b/>
          <w:bCs w:val="0"/>
          <w:color w:val="auto"/>
          <w:kern w:val="2"/>
          <w:sz w:val="32"/>
          <w:szCs w:val="32"/>
          <w:lang w:val="en-US" w:eastAsia="zh-CN" w:bidi="ar-SA"/>
        </w:rPr>
      </w:pPr>
      <w:r>
        <w:rPr>
          <w:rFonts w:hint="eastAsia" w:ascii="方正仿宋简体" w:hAnsi="Times New Roman" w:eastAsia="方正仿宋简体" w:cs="Times New Roman"/>
          <w:b/>
          <w:bCs w:val="0"/>
          <w:kern w:val="2"/>
          <w:sz w:val="32"/>
          <w:szCs w:val="32"/>
          <w:lang w:val="en-US" w:eastAsia="zh-CN" w:bidi="ar-SA"/>
        </w:rPr>
        <w:t>1、</w:t>
      </w:r>
      <w:r>
        <w:rPr>
          <w:rFonts w:hint="eastAsia" w:ascii="方正仿宋简体" w:hAnsi="Times New Roman" w:eastAsia="方正仿宋简体" w:cs="Times New Roman"/>
          <w:b/>
          <w:bCs w:val="0"/>
          <w:color w:val="auto"/>
          <w:kern w:val="2"/>
          <w:sz w:val="32"/>
          <w:szCs w:val="32"/>
          <w:lang w:val="en-US" w:eastAsia="zh-CN" w:bidi="ar-SA"/>
        </w:rPr>
        <w:t>公报所列各项统计数据均为初步统计数，部分数据为</w:t>
      </w:r>
      <w:r>
        <w:rPr>
          <w:rFonts w:hint="eastAsia" w:ascii="方正仿宋简体" w:hAnsi="Times New Roman" w:eastAsia="方正仿宋简体" w:cs="Times New Roman"/>
          <w:b/>
          <w:bCs w:val="0"/>
          <w:color w:val="FF0000"/>
          <w:kern w:val="2"/>
          <w:sz w:val="32"/>
          <w:szCs w:val="32"/>
          <w:lang w:val="en-US" w:eastAsia="zh-CN" w:bidi="ar-SA"/>
        </w:rPr>
        <w:t>1-12月份</w:t>
      </w:r>
      <w:r>
        <w:rPr>
          <w:rFonts w:hint="eastAsia" w:ascii="方正仿宋简体" w:hAnsi="Times New Roman" w:eastAsia="方正仿宋简体" w:cs="Times New Roman"/>
          <w:b/>
          <w:bCs w:val="0"/>
          <w:color w:val="auto"/>
          <w:kern w:val="2"/>
          <w:sz w:val="32"/>
          <w:szCs w:val="32"/>
          <w:lang w:val="en-US" w:eastAsia="zh-CN" w:bidi="ar-SA"/>
        </w:rPr>
        <w:t>数据，小数位四舍五入取舍产生的误差未做机械调整。部门指标均为相关单位提供所得，数据以正式出版的《梁山统计年鉴-2022》为准。</w:t>
      </w:r>
    </w:p>
    <w:p>
      <w:pPr>
        <w:pStyle w:val="3"/>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240" w:lineRule="auto"/>
        <w:ind w:firstLine="643" w:firstLineChars="200"/>
        <w:jc w:val="both"/>
        <w:textAlignment w:val="auto"/>
        <w:rPr>
          <w:rFonts w:hint="eastAsia" w:ascii="方正仿宋简体" w:hAnsi="Times New Roman" w:eastAsia="方正仿宋简体" w:cs="Times New Roman"/>
          <w:b/>
          <w:bCs w:val="0"/>
          <w:color w:val="auto"/>
          <w:kern w:val="2"/>
          <w:sz w:val="32"/>
          <w:szCs w:val="32"/>
          <w:lang w:val="en-US" w:eastAsia="zh-CN" w:bidi="ar-SA"/>
        </w:rPr>
      </w:pPr>
      <w:r>
        <w:rPr>
          <w:rFonts w:hint="eastAsia" w:ascii="方正仿宋简体" w:hAnsi="Times New Roman" w:eastAsia="方正仿宋简体" w:cs="Times New Roman"/>
          <w:b/>
          <w:bCs w:val="0"/>
          <w:color w:val="auto"/>
          <w:kern w:val="2"/>
          <w:sz w:val="32"/>
          <w:szCs w:val="32"/>
          <w:lang w:val="en-US" w:eastAsia="zh-CN" w:bidi="ar-SA"/>
        </w:rPr>
        <w:t>公报所列地区生产总值(简称GDP)及各行业增加值按当年价格计算，增长速度按可比价格计算。</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43" w:firstLineChars="200"/>
        <w:jc w:val="both"/>
        <w:textAlignment w:val="auto"/>
        <w:rPr>
          <w:rFonts w:hint="eastAsia" w:ascii="方正仿宋简体" w:hAnsi="Times New Roman" w:eastAsia="方正仿宋简体" w:cs="Times New Roman"/>
          <w:b/>
          <w:bCs w:val="0"/>
          <w:color w:val="auto"/>
          <w:kern w:val="2"/>
          <w:sz w:val="32"/>
          <w:szCs w:val="32"/>
          <w:lang w:val="en-US" w:eastAsia="zh-CN" w:bidi="ar-SA"/>
        </w:rPr>
      </w:pPr>
      <w:r>
        <w:rPr>
          <w:rFonts w:hint="eastAsia" w:ascii="方正仿宋简体" w:hAnsi="Times New Roman" w:eastAsia="方正仿宋简体" w:cs="Times New Roman"/>
          <w:b/>
          <w:bCs w:val="0"/>
          <w:kern w:val="2"/>
          <w:sz w:val="32"/>
          <w:szCs w:val="32"/>
          <w:lang w:val="en-US" w:eastAsia="zh-CN" w:bidi="ar-SA"/>
        </w:rPr>
        <w:t>3、</w:t>
      </w:r>
      <w:r>
        <w:rPr>
          <w:rFonts w:hint="eastAsia" w:ascii="方正仿宋简体" w:hAnsi="Times New Roman" w:eastAsia="方正仿宋简体" w:cs="Times New Roman"/>
          <w:b/>
          <w:bCs w:val="0"/>
          <w:color w:val="auto"/>
          <w:kern w:val="2"/>
          <w:sz w:val="32"/>
          <w:szCs w:val="32"/>
          <w:lang w:val="en-US" w:eastAsia="zh-CN" w:bidi="ar-SA"/>
        </w:rPr>
        <w:t>根据经济社会发展需要，部分指标统计口径有调整，数据最终解释权在各行业主管部门。</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rPr>
      </w:pPr>
    </w:p>
    <w:p>
      <w:pPr>
        <w:pStyle w:val="3"/>
        <w:rPr>
          <w:rFonts w:hint="default" w:ascii="Times New Roman" w:hAnsi="Times New Roman"/>
          <w:b/>
          <w:sz w:val="28"/>
          <w:szCs w:val="28"/>
        </w:rPr>
      </w:pPr>
    </w:p>
    <w:p>
      <w:pPr>
        <w:rPr>
          <w:rFonts w:ascii="Times New Roman" w:hAnsi="Times New Roman"/>
          <w:b/>
          <w:sz w:val="28"/>
          <w:szCs w:val="28"/>
        </w:rPr>
      </w:pPr>
    </w:p>
    <w:p>
      <w:pPr>
        <w:pStyle w:val="3"/>
        <w:rPr>
          <w:rFonts w:hint="default" w:ascii="Times New Roman" w:hAnsi="Times New Roman"/>
          <w:b/>
          <w:sz w:val="28"/>
          <w:szCs w:val="28"/>
        </w:rPr>
      </w:pPr>
    </w:p>
    <w:p>
      <w:pPr>
        <w:snapToGrid w:val="0"/>
        <w:spacing w:line="560" w:lineRule="exact"/>
      </w:pPr>
    </w:p>
    <w:sectPr>
      <w:footerReference r:id="rId3" w:type="default"/>
      <w:pgSz w:w="11906" w:h="16838"/>
      <w:pgMar w:top="1361" w:right="1587" w:bottom="136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1 -</w:t>
    </w:r>
    <w:r>
      <w:rPr>
        <w:sz w:val="24"/>
        <w:szCs w:val="24"/>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8A7AF"/>
    <w:multiLevelType w:val="singleLevel"/>
    <w:tmpl w:val="18A8A7A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0N2NiNDQ3MjA5OGUwZTJmZjA5OWU4YzI1YmM0YzAifQ=="/>
  </w:docVars>
  <w:rsids>
    <w:rsidRoot w:val="00CE34DF"/>
    <w:rsid w:val="00014522"/>
    <w:rsid w:val="00095834"/>
    <w:rsid w:val="000B0D63"/>
    <w:rsid w:val="000C4D97"/>
    <w:rsid w:val="00122BCB"/>
    <w:rsid w:val="00130BFA"/>
    <w:rsid w:val="001620F1"/>
    <w:rsid w:val="001C59C1"/>
    <w:rsid w:val="001C6954"/>
    <w:rsid w:val="001C7653"/>
    <w:rsid w:val="002140BB"/>
    <w:rsid w:val="00295C80"/>
    <w:rsid w:val="002A1D64"/>
    <w:rsid w:val="00334276"/>
    <w:rsid w:val="00376329"/>
    <w:rsid w:val="003946F9"/>
    <w:rsid w:val="003B17DA"/>
    <w:rsid w:val="003C02E1"/>
    <w:rsid w:val="003C1ABC"/>
    <w:rsid w:val="003F2DFC"/>
    <w:rsid w:val="004942F7"/>
    <w:rsid w:val="004D176A"/>
    <w:rsid w:val="0051427C"/>
    <w:rsid w:val="005176DE"/>
    <w:rsid w:val="00523E92"/>
    <w:rsid w:val="00551C50"/>
    <w:rsid w:val="00554EEC"/>
    <w:rsid w:val="00585E9E"/>
    <w:rsid w:val="00613DFE"/>
    <w:rsid w:val="0068292D"/>
    <w:rsid w:val="006C20D4"/>
    <w:rsid w:val="006E74DB"/>
    <w:rsid w:val="0074208A"/>
    <w:rsid w:val="007460BC"/>
    <w:rsid w:val="0076081E"/>
    <w:rsid w:val="007C5304"/>
    <w:rsid w:val="007E73DB"/>
    <w:rsid w:val="007F7C4F"/>
    <w:rsid w:val="008C499D"/>
    <w:rsid w:val="008D324E"/>
    <w:rsid w:val="008E57E1"/>
    <w:rsid w:val="008E7E7A"/>
    <w:rsid w:val="008F4905"/>
    <w:rsid w:val="009003AE"/>
    <w:rsid w:val="00923014"/>
    <w:rsid w:val="00924E1C"/>
    <w:rsid w:val="0093012F"/>
    <w:rsid w:val="009437E4"/>
    <w:rsid w:val="0096537B"/>
    <w:rsid w:val="00965B93"/>
    <w:rsid w:val="00994291"/>
    <w:rsid w:val="009B4B9E"/>
    <w:rsid w:val="009B5A07"/>
    <w:rsid w:val="009C2AAC"/>
    <w:rsid w:val="009E1964"/>
    <w:rsid w:val="009E7563"/>
    <w:rsid w:val="009F04EC"/>
    <w:rsid w:val="00A42601"/>
    <w:rsid w:val="00A66286"/>
    <w:rsid w:val="00A70A24"/>
    <w:rsid w:val="00A93181"/>
    <w:rsid w:val="00A96F1E"/>
    <w:rsid w:val="00B10C66"/>
    <w:rsid w:val="00B21649"/>
    <w:rsid w:val="00B25118"/>
    <w:rsid w:val="00B72C3E"/>
    <w:rsid w:val="00B80D23"/>
    <w:rsid w:val="00BA75A0"/>
    <w:rsid w:val="00BB798C"/>
    <w:rsid w:val="00BF2E01"/>
    <w:rsid w:val="00BF4033"/>
    <w:rsid w:val="00C05136"/>
    <w:rsid w:val="00C27040"/>
    <w:rsid w:val="00C33675"/>
    <w:rsid w:val="00C43FAA"/>
    <w:rsid w:val="00C469D6"/>
    <w:rsid w:val="00C750FB"/>
    <w:rsid w:val="00C863D5"/>
    <w:rsid w:val="00C94486"/>
    <w:rsid w:val="00CB3C00"/>
    <w:rsid w:val="00CD59D9"/>
    <w:rsid w:val="00CE34DF"/>
    <w:rsid w:val="00D01298"/>
    <w:rsid w:val="00D35F04"/>
    <w:rsid w:val="00D5692B"/>
    <w:rsid w:val="00D82C8E"/>
    <w:rsid w:val="00D84656"/>
    <w:rsid w:val="00D91160"/>
    <w:rsid w:val="00DD705C"/>
    <w:rsid w:val="00E259FF"/>
    <w:rsid w:val="00E4154E"/>
    <w:rsid w:val="00E46297"/>
    <w:rsid w:val="00E911CE"/>
    <w:rsid w:val="00E95BE5"/>
    <w:rsid w:val="00E977B7"/>
    <w:rsid w:val="00EB5EC8"/>
    <w:rsid w:val="00EB7EB5"/>
    <w:rsid w:val="00F25ECC"/>
    <w:rsid w:val="00F27BAC"/>
    <w:rsid w:val="00F349E9"/>
    <w:rsid w:val="00F40DA6"/>
    <w:rsid w:val="00F76F6B"/>
    <w:rsid w:val="00FB0415"/>
    <w:rsid w:val="00FD79E9"/>
    <w:rsid w:val="00FD7B08"/>
    <w:rsid w:val="01CF64BE"/>
    <w:rsid w:val="023F5890"/>
    <w:rsid w:val="0370607A"/>
    <w:rsid w:val="039B6B80"/>
    <w:rsid w:val="041D7C0F"/>
    <w:rsid w:val="042079B9"/>
    <w:rsid w:val="044C5A83"/>
    <w:rsid w:val="04D275F2"/>
    <w:rsid w:val="05925AA9"/>
    <w:rsid w:val="072515CB"/>
    <w:rsid w:val="080D2278"/>
    <w:rsid w:val="084110AD"/>
    <w:rsid w:val="0AB30480"/>
    <w:rsid w:val="0CCC2619"/>
    <w:rsid w:val="0E621326"/>
    <w:rsid w:val="10525E0B"/>
    <w:rsid w:val="10E72E9F"/>
    <w:rsid w:val="1218448B"/>
    <w:rsid w:val="126234D7"/>
    <w:rsid w:val="13257AF1"/>
    <w:rsid w:val="13851004"/>
    <w:rsid w:val="143E4138"/>
    <w:rsid w:val="15322CE8"/>
    <w:rsid w:val="15A13809"/>
    <w:rsid w:val="15E16CCA"/>
    <w:rsid w:val="160D633C"/>
    <w:rsid w:val="1792132C"/>
    <w:rsid w:val="17CC57F5"/>
    <w:rsid w:val="19447978"/>
    <w:rsid w:val="19862B82"/>
    <w:rsid w:val="199E7214"/>
    <w:rsid w:val="19DB2CBB"/>
    <w:rsid w:val="1A005110"/>
    <w:rsid w:val="1AA96AB8"/>
    <w:rsid w:val="1BF404D9"/>
    <w:rsid w:val="1C6A698A"/>
    <w:rsid w:val="1C7F201D"/>
    <w:rsid w:val="1CDB2A3C"/>
    <w:rsid w:val="1EB51FCF"/>
    <w:rsid w:val="1EE91FAB"/>
    <w:rsid w:val="20CB4BAF"/>
    <w:rsid w:val="21007556"/>
    <w:rsid w:val="21866849"/>
    <w:rsid w:val="23041155"/>
    <w:rsid w:val="23274BD9"/>
    <w:rsid w:val="233D2D0E"/>
    <w:rsid w:val="23C474E9"/>
    <w:rsid w:val="24307C59"/>
    <w:rsid w:val="245B622E"/>
    <w:rsid w:val="247E156E"/>
    <w:rsid w:val="269D0C56"/>
    <w:rsid w:val="280748A3"/>
    <w:rsid w:val="28802480"/>
    <w:rsid w:val="2A895BAD"/>
    <w:rsid w:val="2AAD3FEA"/>
    <w:rsid w:val="2AD92619"/>
    <w:rsid w:val="2AF91E52"/>
    <w:rsid w:val="2B430A90"/>
    <w:rsid w:val="2C486A0C"/>
    <w:rsid w:val="2C625FAD"/>
    <w:rsid w:val="2CE163CE"/>
    <w:rsid w:val="2F2B00BE"/>
    <w:rsid w:val="2F7F39E1"/>
    <w:rsid w:val="2FDD2E9B"/>
    <w:rsid w:val="2FE10218"/>
    <w:rsid w:val="304634DC"/>
    <w:rsid w:val="31A468D2"/>
    <w:rsid w:val="326D5FC4"/>
    <w:rsid w:val="33AB404D"/>
    <w:rsid w:val="33AC75B8"/>
    <w:rsid w:val="33B46D01"/>
    <w:rsid w:val="34BE0457"/>
    <w:rsid w:val="3607058F"/>
    <w:rsid w:val="380507D7"/>
    <w:rsid w:val="388740DC"/>
    <w:rsid w:val="38D46E50"/>
    <w:rsid w:val="38DD3D72"/>
    <w:rsid w:val="38E726E0"/>
    <w:rsid w:val="38E91E89"/>
    <w:rsid w:val="3A9F3165"/>
    <w:rsid w:val="3AAF52BB"/>
    <w:rsid w:val="3ABD2920"/>
    <w:rsid w:val="3BBE0FE8"/>
    <w:rsid w:val="3C656BC7"/>
    <w:rsid w:val="3D2A68A5"/>
    <w:rsid w:val="3DE92DA4"/>
    <w:rsid w:val="3EA52A93"/>
    <w:rsid w:val="3FB9315E"/>
    <w:rsid w:val="416E5411"/>
    <w:rsid w:val="4184315F"/>
    <w:rsid w:val="43A62806"/>
    <w:rsid w:val="43AF4742"/>
    <w:rsid w:val="43D61E42"/>
    <w:rsid w:val="45E13EC9"/>
    <w:rsid w:val="48150F23"/>
    <w:rsid w:val="49A208B9"/>
    <w:rsid w:val="4A305B6B"/>
    <w:rsid w:val="4AFB4B33"/>
    <w:rsid w:val="4B0355A3"/>
    <w:rsid w:val="4B28161E"/>
    <w:rsid w:val="4C4D381C"/>
    <w:rsid w:val="4C8308F3"/>
    <w:rsid w:val="4CBA4B6B"/>
    <w:rsid w:val="4D0F5020"/>
    <w:rsid w:val="4DAA5366"/>
    <w:rsid w:val="4E080EF6"/>
    <w:rsid w:val="4E4A3E23"/>
    <w:rsid w:val="4E7C5CD8"/>
    <w:rsid w:val="522438B3"/>
    <w:rsid w:val="53886D05"/>
    <w:rsid w:val="562B5929"/>
    <w:rsid w:val="56683972"/>
    <w:rsid w:val="575059FB"/>
    <w:rsid w:val="58817556"/>
    <w:rsid w:val="593D2B35"/>
    <w:rsid w:val="5B89179C"/>
    <w:rsid w:val="5BC51465"/>
    <w:rsid w:val="5F6C7BBD"/>
    <w:rsid w:val="61BE30A1"/>
    <w:rsid w:val="62A71C79"/>
    <w:rsid w:val="62F12229"/>
    <w:rsid w:val="63CF2A13"/>
    <w:rsid w:val="640B731B"/>
    <w:rsid w:val="6493075A"/>
    <w:rsid w:val="64EE4AA1"/>
    <w:rsid w:val="65407E94"/>
    <w:rsid w:val="65781F82"/>
    <w:rsid w:val="6738629B"/>
    <w:rsid w:val="67DA0714"/>
    <w:rsid w:val="67F44048"/>
    <w:rsid w:val="685924A3"/>
    <w:rsid w:val="690F67EE"/>
    <w:rsid w:val="6AD04284"/>
    <w:rsid w:val="6AD76730"/>
    <w:rsid w:val="6B8C4051"/>
    <w:rsid w:val="6C07304E"/>
    <w:rsid w:val="6C527E27"/>
    <w:rsid w:val="6CD25182"/>
    <w:rsid w:val="6CF910A7"/>
    <w:rsid w:val="6D63198D"/>
    <w:rsid w:val="70154863"/>
    <w:rsid w:val="709E5F71"/>
    <w:rsid w:val="721C3AB4"/>
    <w:rsid w:val="724E5CB3"/>
    <w:rsid w:val="72B7149E"/>
    <w:rsid w:val="732D14F2"/>
    <w:rsid w:val="74341BF1"/>
    <w:rsid w:val="74397054"/>
    <w:rsid w:val="755D54FC"/>
    <w:rsid w:val="76D10539"/>
    <w:rsid w:val="78107F80"/>
    <w:rsid w:val="79AB57D1"/>
    <w:rsid w:val="79E32322"/>
    <w:rsid w:val="7B95154C"/>
    <w:rsid w:val="7C05599C"/>
    <w:rsid w:val="7C923ED2"/>
    <w:rsid w:val="7D836E35"/>
    <w:rsid w:val="7E8E4135"/>
    <w:rsid w:val="7F022DFF"/>
    <w:rsid w:val="7FEC2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100" w:beforeAutospacing="1" w:after="100" w:afterAutospacing="1" w:line="600" w:lineRule="exact"/>
      <w:outlineLvl w:val="0"/>
    </w:pPr>
    <w:rPr>
      <w:rFonts w:hint="eastAsia" w:eastAsia="黑体"/>
      <w:bCs/>
      <w:kern w:val="44"/>
      <w:sz w:val="32"/>
      <w:szCs w:val="4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文件格式"/>
    <w:basedOn w:val="1"/>
    <w:qFormat/>
    <w:uiPriority w:val="0"/>
    <w:pPr>
      <w:widowControl/>
      <w:spacing w:line="460" w:lineRule="atLeast"/>
      <w:ind w:left="1" w:firstLine="419"/>
      <w:textAlignment w:val="bottom"/>
    </w:pPr>
    <w:rPr>
      <w:szCs w:val="32"/>
    </w:rPr>
  </w:style>
  <w:style w:type="paragraph" w:styleId="4">
    <w:name w:val="Normal Indent"/>
    <w:basedOn w:val="1"/>
    <w:semiHidden/>
    <w:unhideWhenUsed/>
    <w:qFormat/>
    <w:uiPriority w:val="99"/>
    <w:pPr>
      <w:ind w:firstLine="420" w:firstLineChars="200"/>
    </w:pPr>
  </w:style>
  <w:style w:type="paragraph" w:styleId="5">
    <w:name w:val="annotation text"/>
    <w:basedOn w:val="1"/>
    <w:link w:val="21"/>
    <w:semiHidden/>
    <w:unhideWhenUsed/>
    <w:qFormat/>
    <w:uiPriority w:val="99"/>
    <w:pPr>
      <w:jc w:val="left"/>
    </w:pPr>
  </w:style>
  <w:style w:type="paragraph" w:styleId="6">
    <w:name w:val="endnote text"/>
    <w:basedOn w:val="1"/>
    <w:link w:val="24"/>
    <w:semiHidden/>
    <w:unhideWhenUsed/>
    <w:qFormat/>
    <w:uiPriority w:val="99"/>
    <w:pPr>
      <w:snapToGrid w:val="0"/>
      <w:jc w:val="left"/>
    </w:pPr>
  </w:style>
  <w:style w:type="paragraph" w:styleId="7">
    <w:name w:val="Balloon Text"/>
    <w:basedOn w:val="1"/>
    <w:link w:val="23"/>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25"/>
    <w:semiHidden/>
    <w:unhideWhenUsed/>
    <w:qFormat/>
    <w:uiPriority w:val="99"/>
    <w:pPr>
      <w:snapToGrid w:val="0"/>
      <w:jc w:val="left"/>
    </w:pPr>
    <w:rPr>
      <w:sz w:val="18"/>
      <w:szCs w:val="18"/>
    </w:rPr>
  </w:style>
  <w:style w:type="paragraph" w:styleId="11">
    <w:name w:val="toc 2"/>
    <w:basedOn w:val="1"/>
    <w:next w:val="1"/>
    <w:qFormat/>
    <w:uiPriority w:val="0"/>
    <w:pPr>
      <w:spacing w:before="100" w:beforeAutospacing="1" w:after="100" w:afterAutospacing="1"/>
      <w:ind w:left="200" w:leftChars="200"/>
    </w:pPr>
  </w:style>
  <w:style w:type="paragraph" w:styleId="12">
    <w:name w:val="Normal (Web)"/>
    <w:basedOn w:val="1"/>
    <w:unhideWhenUsed/>
    <w:qFormat/>
    <w:uiPriority w:val="99"/>
    <w:pPr>
      <w:jc w:val="left"/>
    </w:pPr>
    <w:rPr>
      <w:rFonts w:ascii="微软雅黑" w:hAnsi="微软雅黑" w:eastAsia="微软雅黑"/>
      <w:kern w:val="0"/>
      <w:sz w:val="24"/>
    </w:rPr>
  </w:style>
  <w:style w:type="paragraph" w:styleId="13">
    <w:name w:val="annotation subject"/>
    <w:basedOn w:val="5"/>
    <w:next w:val="5"/>
    <w:link w:val="22"/>
    <w:semiHidden/>
    <w:unhideWhenUsed/>
    <w:qFormat/>
    <w:uiPriority w:val="99"/>
    <w:rPr>
      <w:b/>
      <w:bCs/>
    </w:rPr>
  </w:style>
  <w:style w:type="character" w:styleId="16">
    <w:name w:val="Strong"/>
    <w:qFormat/>
    <w:uiPriority w:val="22"/>
    <w:rPr>
      <w:rFonts w:hint="default"/>
      <w:b/>
      <w:sz w:val="24"/>
    </w:rPr>
  </w:style>
  <w:style w:type="character" w:styleId="17">
    <w:name w:val="Emphasis"/>
    <w:basedOn w:val="15"/>
    <w:qFormat/>
    <w:uiPriority w:val="20"/>
    <w:rPr>
      <w:i/>
    </w:rPr>
  </w:style>
  <w:style w:type="character" w:customStyle="1" w:styleId="18">
    <w:name w:val="页眉 Char"/>
    <w:basedOn w:val="15"/>
    <w:link w:val="9"/>
    <w:qFormat/>
    <w:uiPriority w:val="99"/>
    <w:rPr>
      <w:rFonts w:ascii="Calibri" w:hAnsi="Calibri" w:eastAsia="宋体" w:cs="Times New Roman"/>
      <w:sz w:val="18"/>
      <w:szCs w:val="18"/>
    </w:rPr>
  </w:style>
  <w:style w:type="character" w:customStyle="1" w:styleId="19">
    <w:name w:val="页脚 Char"/>
    <w:basedOn w:val="15"/>
    <w:link w:val="8"/>
    <w:qFormat/>
    <w:uiPriority w:val="99"/>
    <w:rPr>
      <w:rFonts w:ascii="Calibri" w:hAnsi="Calibri"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批注文字 Char"/>
    <w:basedOn w:val="15"/>
    <w:link w:val="5"/>
    <w:semiHidden/>
    <w:qFormat/>
    <w:uiPriority w:val="99"/>
    <w:rPr>
      <w:rFonts w:ascii="Calibri" w:hAnsi="Calibri" w:eastAsia="宋体" w:cs="Times New Roman"/>
    </w:rPr>
  </w:style>
  <w:style w:type="character" w:customStyle="1" w:styleId="22">
    <w:name w:val="批注主题 Char"/>
    <w:basedOn w:val="21"/>
    <w:link w:val="13"/>
    <w:semiHidden/>
    <w:qFormat/>
    <w:uiPriority w:val="99"/>
    <w:rPr>
      <w:rFonts w:ascii="Calibri" w:hAnsi="Calibri" w:eastAsia="宋体" w:cs="Times New Roman"/>
      <w:b/>
      <w:bCs/>
    </w:rPr>
  </w:style>
  <w:style w:type="character" w:customStyle="1" w:styleId="23">
    <w:name w:val="批注框文本 Char"/>
    <w:basedOn w:val="15"/>
    <w:link w:val="7"/>
    <w:semiHidden/>
    <w:qFormat/>
    <w:uiPriority w:val="99"/>
    <w:rPr>
      <w:rFonts w:ascii="Calibri" w:hAnsi="Calibri" w:eastAsia="宋体" w:cs="Times New Roman"/>
      <w:sz w:val="18"/>
      <w:szCs w:val="18"/>
    </w:rPr>
  </w:style>
  <w:style w:type="character" w:customStyle="1" w:styleId="24">
    <w:name w:val="尾注文本 Char"/>
    <w:basedOn w:val="15"/>
    <w:link w:val="6"/>
    <w:semiHidden/>
    <w:qFormat/>
    <w:uiPriority w:val="99"/>
    <w:rPr>
      <w:rFonts w:ascii="Calibri" w:hAnsi="Calibri" w:eastAsia="宋体" w:cs="Times New Roman"/>
    </w:rPr>
  </w:style>
  <w:style w:type="character" w:customStyle="1" w:styleId="25">
    <w:name w:val="脚注文本 Char"/>
    <w:basedOn w:val="15"/>
    <w:link w:val="10"/>
    <w:semiHidden/>
    <w:qFormat/>
    <w:uiPriority w:val="99"/>
    <w:rPr>
      <w:rFonts w:ascii="Calibri" w:hAnsi="Calibri" w:eastAsia="宋体" w:cs="Times New Roman"/>
      <w:sz w:val="18"/>
      <w:szCs w:val="18"/>
    </w:rPr>
  </w:style>
  <w:style w:type="character" w:customStyle="1" w:styleId="26">
    <w:name w:val="emtidy-2"/>
    <w:basedOn w:val="15"/>
    <w:qFormat/>
    <w:uiPriority w:val="0"/>
  </w:style>
  <w:style w:type="character" w:customStyle="1" w:styleId="27">
    <w:name w:val="emtidy-3"/>
    <w:basedOn w:val="15"/>
    <w:qFormat/>
    <w:uiPriority w:val="0"/>
  </w:style>
  <w:style w:type="character" w:customStyle="1" w:styleId="28">
    <w:name w:val="emtidy-4"/>
    <w:basedOn w:val="15"/>
    <w:qFormat/>
    <w:uiPriority w:val="0"/>
  </w:style>
  <w:style w:type="paragraph" w:customStyle="1" w:styleId="29">
    <w:name w:val="公文正文"/>
    <w:basedOn w:val="1"/>
    <w:qFormat/>
    <w:uiPriority w:val="0"/>
    <w:pPr>
      <w:spacing w:line="580" w:lineRule="exact"/>
      <w:ind w:firstLine="640" w:firstLineChars="200"/>
    </w:pPr>
    <w:rPr>
      <w:rFonts w:eastAsia="仿宋" w:cs="Arial"/>
      <w:sz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32508;&#21512;&#32479;&#35745;\&#20844;&#25253;\2022&#32479;&#35745;&#20844;&#25253;\&#26032;&#24314;&#25991;&#20214;&#22841;\01GDP.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32508;&#21512;&#32479;&#35745;\&#20844;&#25253;\2022&#32479;&#35745;&#20844;&#25253;\&#26032;&#24314;&#25991;&#20214;&#22841;\01GDP.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32508;&#21512;&#32479;&#35745;\&#20844;&#25253;\2022&#32479;&#35745;&#20844;&#25253;\&#26032;&#24314;&#25991;&#20214;&#22841;\01GDP.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32508;&#21512;&#32479;&#35745;\&#20844;&#25253;\2022&#32479;&#35745;&#20844;&#25253;\&#26032;&#24314;&#25991;&#20214;&#22841;\01GDP.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32508;&#21512;&#32479;&#35745;\&#20844;&#25253;\2022&#32479;&#35745;&#20844;&#25253;\&#26032;&#24314;&#25991;&#20214;&#22841;\01GDP.xls" TargetMode="External"/></Relationships>
</file>

<file path=word/charts/_rels/chart6.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D:\&#23616;&#26448;&#26009;\&#26448;&#26009;\&#20004;&#20250;&#24425;&#20876;\2012&#32479;&#35745;&#23616;&#25968;&#25454;&#22270;&#34920;\&#26032;&#24314;&#25991;&#20214;&#22841;\01GDP.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80" b="0" i="0" u="none" strike="noStrike" kern="1200" spc="0" baseline="0">
                <a:solidFill>
                  <a:sysClr val="windowText" lastClr="000000"/>
                </a:solidFill>
                <a:latin typeface="+mn-lt"/>
                <a:ea typeface="+mn-ea"/>
                <a:cs typeface="+mn-cs"/>
              </a:defRPr>
            </a:pPr>
            <a:r>
              <a:rPr sz="1680" b="1" i="0" u="none" strike="noStrike" baseline="0">
                <a:solidFill>
                  <a:srgbClr val="000000"/>
                </a:solidFill>
                <a:latin typeface="宋体" panose="02010600030101010101" charset="-122"/>
                <a:ea typeface="宋体" panose="02010600030101010101" charset="-122"/>
                <a:cs typeface="宋体" panose="02010600030101010101" charset="-122"/>
              </a:rPr>
              <a:t>地区生产总值（</a:t>
            </a:r>
            <a:r>
              <a:rPr lang="en-US" altLang="zh-CN" sz="1680" b="1"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GDP)</a:t>
            </a:r>
            <a:r>
              <a:rPr altLang="en-US" sz="1680" b="1" i="0" u="none" strike="noStrike" baseline="0">
                <a:solidFill>
                  <a:srgbClr val="000000"/>
                </a:solidFill>
                <a:latin typeface="宋体" panose="02010600030101010101" charset="-122"/>
                <a:ea typeface="宋体" panose="02010600030101010101" charset="-122"/>
                <a:cs typeface="宋体" panose="02010600030101010101" charset="-122"/>
              </a:rPr>
              <a:t>总量及增速</a:t>
            </a:r>
            <a:endParaRPr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"总量（亿元）"</c:f>
              <c:strCache>
                <c:ptCount val="1"/>
                <c:pt idx="0">
                  <c:v>总量（亿元）</c:v>
                </c:pt>
              </c:strCache>
            </c:strRef>
          </c:tx>
          <c:spPr>
            <a:gradFill>
              <a:gsLst>
                <a:gs pos="100000">
                  <a:srgbClr val="EEC988"/>
                </a:gs>
                <a:gs pos="0">
                  <a:srgbClr val="CB954D"/>
                </a:gs>
              </a:gsLst>
              <a:lin scaled="1"/>
            </a:gra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400" b="1"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[01GDP.xls]Sheet1!$B$1:$F$1</c:f>
              <c:strCache>
                <c:ptCount val="5"/>
                <c:pt idx="0">
                  <c:v>2018年</c:v>
                </c:pt>
                <c:pt idx="1">
                  <c:v>2019年</c:v>
                </c:pt>
                <c:pt idx="2">
                  <c:v>2020年</c:v>
                </c:pt>
                <c:pt idx="3">
                  <c:v>2021年</c:v>
                </c:pt>
                <c:pt idx="4">
                  <c:v>2022年</c:v>
                </c:pt>
              </c:strCache>
            </c:strRef>
          </c:cat>
          <c:val>
            <c:numRef>
              <c:f>[01GDP.xls]Sheet1!$B$2:$F$2</c:f>
              <c:numCache>
                <c:formatCode>General</c:formatCode>
                <c:ptCount val="5"/>
                <c:pt idx="0">
                  <c:v>229.46</c:v>
                </c:pt>
                <c:pt idx="1">
                  <c:v>231.55</c:v>
                </c:pt>
                <c:pt idx="2">
                  <c:v>238.46</c:v>
                </c:pt>
                <c:pt idx="3">
                  <c:v>268.12</c:v>
                </c:pt>
                <c:pt idx="4">
                  <c:v>286.46</c:v>
                </c:pt>
              </c:numCache>
            </c:numRef>
          </c:val>
        </c:ser>
        <c:dLbls>
          <c:showLegendKey val="0"/>
          <c:showVal val="0"/>
          <c:showCatName val="0"/>
          <c:showSerName val="0"/>
          <c:showPercent val="0"/>
          <c:showBubbleSize val="0"/>
        </c:dLbls>
        <c:gapWidth val="150"/>
        <c:overlap val="0"/>
        <c:axId val="243161475"/>
        <c:axId val="664920504"/>
      </c:barChart>
      <c:lineChart>
        <c:grouping val="standard"/>
        <c:varyColors val="0"/>
        <c:ser>
          <c:idx val="1"/>
          <c:order val="1"/>
          <c:tx>
            <c:strRef>
              <c:f>"增速（%）"</c:f>
              <c:strCache>
                <c:ptCount val="1"/>
                <c:pt idx="0">
                  <c:v>增速（%）</c:v>
                </c:pt>
              </c:strCache>
            </c:strRef>
          </c:tx>
          <c:spPr>
            <a:ln w="28575" cap="rnd" cmpd="sng" algn="ctr">
              <a:solidFill>
                <a:schemeClr val="accent2"/>
              </a:solidFill>
              <a:prstDash val="solid"/>
              <a:round/>
            </a:ln>
            <a:effectLst/>
            <a:sp3d contourW="28575"/>
          </c:spPr>
          <c:marker>
            <c:symbol val="none"/>
          </c:marker>
          <c:dLbls>
            <c:numFmt formatCode="General" sourceLinked="1"/>
            <c:spPr>
              <a:noFill/>
              <a:ln>
                <a:noFill/>
              </a:ln>
              <a:effectLst/>
            </c:spPr>
            <c:txPr>
              <a:bodyPr rot="0" spcFirstLastPara="0" vertOverflow="ellipsis" vert="horz" wrap="square" lIns="38100" tIns="19050" rIns="38100" bIns="19050" anchor="ctr" anchorCtr="1"/>
              <a:lstStyle/>
              <a:p>
                <a:pPr>
                  <a:defRPr lang="zh-CN" sz="1400" b="1" i="0" u="none" strike="noStrike" kern="1200" baseline="0">
                    <a:solidFill>
                      <a:sysClr val="windowText" lastClr="000000"/>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[01GDP.xls]Sheet1!$B$1:$F$1</c:f>
              <c:strCache>
                <c:ptCount val="5"/>
                <c:pt idx="0">
                  <c:v>2018年</c:v>
                </c:pt>
                <c:pt idx="1">
                  <c:v>2019年</c:v>
                </c:pt>
                <c:pt idx="2">
                  <c:v>2020年</c:v>
                </c:pt>
                <c:pt idx="3">
                  <c:v>2021年</c:v>
                </c:pt>
                <c:pt idx="4">
                  <c:v>2022年</c:v>
                </c:pt>
              </c:strCache>
            </c:strRef>
          </c:cat>
          <c:val>
            <c:numRef>
              <c:f>[01GDP.xls]Sheet1!$B$3:$F$3</c:f>
              <c:numCache>
                <c:formatCode>General</c:formatCode>
                <c:ptCount val="5"/>
                <c:pt idx="0">
                  <c:v>6.7</c:v>
                </c:pt>
                <c:pt idx="1">
                  <c:v>4.6</c:v>
                </c:pt>
                <c:pt idx="2">
                  <c:v>3.8</c:v>
                </c:pt>
                <c:pt idx="3">
                  <c:v>8.9</c:v>
                </c:pt>
                <c:pt idx="4">
                  <c:v>3.9</c:v>
                </c:pt>
              </c:numCache>
            </c:numRef>
          </c:val>
          <c:smooth val="0"/>
        </c:ser>
        <c:dLbls>
          <c:showLegendKey val="0"/>
          <c:showVal val="0"/>
          <c:showCatName val="0"/>
          <c:showSerName val="0"/>
          <c:showPercent val="0"/>
          <c:showBubbleSize val="0"/>
        </c:dLbls>
        <c:marker val="0"/>
        <c:smooth val="0"/>
        <c:axId val="828623208"/>
        <c:axId val="724658995"/>
      </c:lineChart>
      <c:catAx>
        <c:axId val="82862320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400" b="1" i="0" u="none" strike="noStrike" kern="1200" baseline="0">
                <a:solidFill>
                  <a:sysClr val="windowText" lastClr="000000"/>
                </a:solidFill>
                <a:latin typeface="+mn-lt"/>
                <a:ea typeface="+mn-ea"/>
                <a:cs typeface="+mn-cs"/>
              </a:defRPr>
            </a:pPr>
          </a:p>
        </c:txPr>
        <c:crossAx val="724658995"/>
        <c:crosses val="autoZero"/>
        <c:auto val="1"/>
        <c:lblAlgn val="ctr"/>
        <c:lblOffset val="100"/>
        <c:noMultiLvlLbl val="0"/>
      </c:catAx>
      <c:valAx>
        <c:axId val="724658995"/>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1400" b="1" i="0" u="none" strike="noStrike" kern="1200" baseline="0">
                <a:solidFill>
                  <a:sysClr val="windowText" lastClr="000000"/>
                </a:solidFill>
                <a:latin typeface="+mn-lt"/>
                <a:ea typeface="+mn-ea"/>
                <a:cs typeface="+mn-cs"/>
              </a:defRPr>
            </a:pPr>
          </a:p>
        </c:txPr>
        <c:crossAx val="828623208"/>
        <c:crosses val="autoZero"/>
        <c:crossBetween val="between"/>
      </c:valAx>
      <c:catAx>
        <c:axId val="243161475"/>
        <c:scaling>
          <c:orientation val="minMax"/>
        </c:scaling>
        <c:delete val="1"/>
        <c:axPos val="b"/>
        <c:majorTickMark val="none"/>
        <c:minorTickMark val="none"/>
        <c:tickLblPos val="nextTo"/>
        <c:txPr>
          <a:bodyPr rot="-60000000" spcFirstLastPara="0" vertOverflow="ellipsis" vert="horz" wrap="square" anchor="ctr" anchorCtr="1"/>
          <a:lstStyle/>
          <a:p>
            <a:pPr>
              <a:defRPr lang="zh-CN" sz="1400" b="0" i="0" u="none" strike="noStrike" kern="1200" baseline="0">
                <a:solidFill>
                  <a:srgbClr val="000000">
                    <a:alpha val="100000"/>
                  </a:srgbClr>
                </a:solidFill>
                <a:latin typeface="+mn-lt"/>
                <a:ea typeface="+mn-ea"/>
                <a:cs typeface="+mn-cs"/>
              </a:defRPr>
            </a:pPr>
          </a:p>
        </c:txPr>
        <c:crossAx val="664920504"/>
        <c:crosses val="autoZero"/>
        <c:auto val="1"/>
        <c:lblAlgn val="ctr"/>
        <c:lblOffset val="100"/>
        <c:noMultiLvlLbl val="0"/>
      </c:catAx>
      <c:valAx>
        <c:axId val="664920504"/>
        <c:scaling>
          <c:orientation val="minMax"/>
        </c:scaling>
        <c:delete val="0"/>
        <c:axPos val="r"/>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1400" b="1" i="0" u="none" strike="noStrike" kern="1200" baseline="0">
                <a:solidFill>
                  <a:sysClr val="windowText" lastClr="000000"/>
                </a:solidFill>
                <a:latin typeface="+mn-lt"/>
                <a:ea typeface="+mn-ea"/>
                <a:cs typeface="+mn-cs"/>
              </a:defRPr>
            </a:pPr>
          </a:p>
        </c:txPr>
        <c:crossAx val="243161475"/>
        <c:crosses val="max"/>
        <c:crossBetween val="between"/>
      </c:valAx>
      <c:spPr>
        <a:noFill/>
        <a:ln>
          <a:noFill/>
        </a:ln>
        <a:effectLst/>
      </c:spPr>
    </c:plotArea>
    <c:legend>
      <c:legendPos val="b"/>
      <c:legendEntry>
        <c:idx val="0"/>
        <c:txPr>
          <a:bodyPr rot="0" spcFirstLastPara="0" vertOverflow="ellipsis" vert="horz" wrap="square" anchor="ctr" anchorCtr="1"/>
          <a:lstStyle/>
          <a:p>
            <a:pPr>
              <a:defRPr lang="zh-CN" sz="1400" b="1" i="0" u="none" strike="noStrike" kern="1200" baseline="0">
                <a:solidFill>
                  <a:sysClr val="windowText" lastClr="000000"/>
                </a:solidFill>
                <a:latin typeface="+mn-lt"/>
                <a:ea typeface="+mn-ea"/>
                <a:cs typeface="+mn-cs"/>
              </a:defRPr>
            </a:pPr>
          </a:p>
        </c:txPr>
      </c:legendEntry>
      <c:legendEntry>
        <c:idx val="1"/>
        <c:txPr>
          <a:bodyPr rot="0" spcFirstLastPara="0" vertOverflow="ellipsis" vert="horz" wrap="square" anchor="ctr" anchorCtr="1"/>
          <a:lstStyle/>
          <a:p>
            <a:pPr>
              <a:defRPr lang="zh-CN" sz="1400" b="1" i="0" u="none" strike="noStrike" kern="1200" baseline="0">
                <a:solidFill>
                  <a:sysClr val="windowText" lastClr="000000"/>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400" b="1" i="0" u="none" strike="noStrike" kern="1200" baseline="0">
              <a:solidFill>
                <a:sysClr val="windowText" lastClr="000000"/>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sz="1400">
          <a:solidFill>
            <a:sysClr val="windowText" lastClr="000000"/>
          </a:solidFill>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80" b="0" i="0" u="none" strike="noStrike" kern="1200" spc="0" baseline="0">
                <a:solidFill>
                  <a:sysClr val="windowText" lastClr="000000"/>
                </a:solidFill>
                <a:latin typeface="+mn-lt"/>
                <a:ea typeface="+mn-ea"/>
                <a:cs typeface="+mn-cs"/>
              </a:defRPr>
            </a:pPr>
            <a:r>
              <a:rPr sz="1680" b="1">
                <a:solidFill>
                  <a:sysClr val="windowText" lastClr="000000"/>
                </a:solidFill>
              </a:rPr>
              <a:t>一般公共预算收入总量及增速</a:t>
            </a:r>
            <a:endParaRPr sz="1680" b="1" i="0" u="none" strike="noStrike" baseline="0">
              <a:solidFill>
                <a:sysClr val="windowText" lastClr="000000"/>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"总量（亿元）"</c:f>
              <c:strCache>
                <c:ptCount val="1"/>
                <c:pt idx="0">
                  <c:v>总量（亿元）</c:v>
                </c:pt>
              </c:strCache>
            </c:strRef>
          </c:tx>
          <c:spPr>
            <a:gradFill>
              <a:gsLst>
                <a:gs pos="0">
                  <a:srgbClr val="9EE256"/>
                </a:gs>
                <a:gs pos="100000">
                  <a:srgbClr val="52762D"/>
                </a:gs>
              </a:gsLst>
              <a:lin ang="0" scaled="0"/>
            </a:gra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400" b="1"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[01GDP.xls]Sheet1!$B$25:$F$25</c:f>
              <c:strCache>
                <c:ptCount val="5"/>
                <c:pt idx="0">
                  <c:v>2018年</c:v>
                </c:pt>
                <c:pt idx="1">
                  <c:v>2019年</c:v>
                </c:pt>
                <c:pt idx="2">
                  <c:v>2020年</c:v>
                </c:pt>
                <c:pt idx="3">
                  <c:v>2021年</c:v>
                </c:pt>
                <c:pt idx="4">
                  <c:v>2022年</c:v>
                </c:pt>
              </c:strCache>
            </c:strRef>
          </c:cat>
          <c:val>
            <c:numRef>
              <c:f>[01GDP.xls]Sheet1!$B$26:$F$26</c:f>
              <c:numCache>
                <c:formatCode>General</c:formatCode>
                <c:ptCount val="5"/>
                <c:pt idx="0">
                  <c:v>16.18</c:v>
                </c:pt>
                <c:pt idx="1">
                  <c:v>18.01</c:v>
                </c:pt>
                <c:pt idx="2">
                  <c:v>20.01</c:v>
                </c:pt>
                <c:pt idx="3">
                  <c:v>21.82</c:v>
                </c:pt>
                <c:pt idx="4">
                  <c:v>16.3</c:v>
                </c:pt>
              </c:numCache>
            </c:numRef>
          </c:val>
        </c:ser>
        <c:dLbls>
          <c:showLegendKey val="0"/>
          <c:showVal val="0"/>
          <c:showCatName val="0"/>
          <c:showSerName val="0"/>
          <c:showPercent val="0"/>
          <c:showBubbleSize val="0"/>
        </c:dLbls>
        <c:gapWidth val="150"/>
        <c:overlap val="0"/>
        <c:axId val="565325927"/>
        <c:axId val="708063640"/>
      </c:barChart>
      <c:lineChart>
        <c:grouping val="standard"/>
        <c:varyColors val="0"/>
        <c:ser>
          <c:idx val="1"/>
          <c:order val="1"/>
          <c:tx>
            <c:strRef>
              <c:f>"增速（%）"</c:f>
              <c:strCache>
                <c:ptCount val="1"/>
                <c:pt idx="0">
                  <c:v>增速（%）</c:v>
                </c:pt>
              </c:strCache>
            </c:strRef>
          </c:tx>
          <c:spPr>
            <a:ln w="28575" cap="rnd" cmpd="sng" algn="ctr">
              <a:solidFill>
                <a:schemeClr val="accent2"/>
              </a:solidFill>
              <a:prstDash val="solid"/>
              <a:round/>
            </a:ln>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a:lstStyle/>
              <a:p>
                <a:pPr>
                  <a:defRPr lang="zh-CN" sz="1400" b="1" i="0" u="none" strike="noStrike" kern="1200" baseline="0">
                    <a:solidFill>
                      <a:sysClr val="windowText" lastClr="000000"/>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[01GDP.xls]Sheet1!$B$25:$F$25</c:f>
              <c:strCache>
                <c:ptCount val="5"/>
                <c:pt idx="0">
                  <c:v>2018年</c:v>
                </c:pt>
                <c:pt idx="1">
                  <c:v>2019年</c:v>
                </c:pt>
                <c:pt idx="2">
                  <c:v>2020年</c:v>
                </c:pt>
                <c:pt idx="3">
                  <c:v>2021年</c:v>
                </c:pt>
                <c:pt idx="4">
                  <c:v>2022年</c:v>
                </c:pt>
              </c:strCache>
            </c:strRef>
          </c:cat>
          <c:val>
            <c:numRef>
              <c:f>[01GDP.xls]Sheet1!$B$27:$F$27</c:f>
              <c:numCache>
                <c:formatCode>General</c:formatCode>
                <c:ptCount val="5"/>
                <c:pt idx="0">
                  <c:v>10.8</c:v>
                </c:pt>
                <c:pt idx="1">
                  <c:v>11.3</c:v>
                </c:pt>
                <c:pt idx="2">
                  <c:v>11.1</c:v>
                </c:pt>
                <c:pt idx="3">
                  <c:v>9</c:v>
                </c:pt>
                <c:pt idx="4">
                  <c:v>-25.1</c:v>
                </c:pt>
              </c:numCache>
            </c:numRef>
          </c:val>
          <c:smooth val="0"/>
        </c:ser>
        <c:dLbls>
          <c:showLegendKey val="0"/>
          <c:showVal val="0"/>
          <c:showCatName val="0"/>
          <c:showSerName val="0"/>
          <c:showPercent val="0"/>
          <c:showBubbleSize val="0"/>
        </c:dLbls>
        <c:marker val="0"/>
        <c:smooth val="0"/>
        <c:axId val="565325927"/>
        <c:axId val="708063640"/>
      </c:lineChart>
      <c:catAx>
        <c:axId val="565325927"/>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400" b="1" i="0" u="none" strike="noStrike" kern="1200" baseline="0">
                <a:solidFill>
                  <a:sysClr val="windowText" lastClr="000000"/>
                </a:solidFill>
                <a:latin typeface="+mn-lt"/>
                <a:ea typeface="+mn-ea"/>
                <a:cs typeface="+mn-cs"/>
              </a:defRPr>
            </a:pPr>
          </a:p>
        </c:txPr>
        <c:crossAx val="708063640"/>
        <c:crosses val="autoZero"/>
        <c:auto val="1"/>
        <c:lblAlgn val="ctr"/>
        <c:lblOffset val="100"/>
        <c:noMultiLvlLbl val="0"/>
      </c:catAx>
      <c:valAx>
        <c:axId val="70806364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1400" b="1" i="0" u="none" strike="noStrike" kern="1200" baseline="0">
                <a:solidFill>
                  <a:sysClr val="windowText" lastClr="000000"/>
                </a:solidFill>
                <a:latin typeface="+mn-lt"/>
                <a:ea typeface="+mn-ea"/>
                <a:cs typeface="+mn-cs"/>
              </a:defRPr>
            </a:pPr>
          </a:p>
        </c:txPr>
        <c:crossAx val="565325927"/>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400" b="1" i="0" u="none" strike="noStrike" kern="1200" baseline="0">
                <a:solidFill>
                  <a:sysClr val="windowText" lastClr="000000"/>
                </a:solidFill>
                <a:latin typeface="+mn-lt"/>
                <a:ea typeface="+mn-ea"/>
                <a:cs typeface="+mn-cs"/>
              </a:defRPr>
            </a:pPr>
          </a:p>
        </c:txPr>
      </c:legendEntry>
      <c:legendEntry>
        <c:idx val="1"/>
        <c:txPr>
          <a:bodyPr rot="0" spcFirstLastPara="0" vertOverflow="ellipsis" vert="horz" wrap="square" anchor="ctr" anchorCtr="1"/>
          <a:lstStyle/>
          <a:p>
            <a:pPr>
              <a:defRPr lang="zh-CN" sz="1400" b="1" i="0" u="none" strike="noStrike" kern="1200" baseline="0">
                <a:solidFill>
                  <a:sysClr val="windowText" lastClr="000000"/>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400" b="1" i="0" u="none" strike="noStrike" kern="1200" baseline="0">
              <a:solidFill>
                <a:sysClr val="windowText" lastClr="000000"/>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sz="1400">
          <a:solidFill>
            <a:sysClr val="windowText" lastClr="000000"/>
          </a:solidFill>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80" b="1" i="0" u="none" strike="noStrike" kern="1200" spc="0" baseline="0">
                <a:solidFill>
                  <a:sysClr val="windowText" lastClr="000000"/>
                </a:solidFill>
                <a:latin typeface="+mn-lt"/>
                <a:ea typeface="+mn-ea"/>
                <a:cs typeface="+mn-cs"/>
              </a:defRPr>
            </a:pPr>
            <a:r>
              <a:rPr sz="1680" b="1">
                <a:solidFill>
                  <a:sysClr val="windowText" lastClr="000000"/>
                </a:solidFill>
              </a:rPr>
              <a:t>居民可支配收入总量及增速</a:t>
            </a:r>
            <a:endParaRPr sz="1680" b="1" i="0" u="none" strike="noStrike" baseline="0">
              <a:solidFill>
                <a:sysClr val="windowText" lastClr="000000"/>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"城镇居民（元）"</c:f>
              <c:strCache>
                <c:ptCount val="1"/>
                <c:pt idx="0">
                  <c:v>城镇居民（元）</c:v>
                </c:pt>
              </c:strCache>
            </c:strRef>
          </c:tx>
          <c:spPr>
            <a:gradFill>
              <a:gsLst>
                <a:gs pos="0">
                  <a:srgbClr val="007BD3"/>
                </a:gs>
                <a:gs pos="100000">
                  <a:srgbClr val="034373"/>
                </a:gs>
              </a:gsLst>
              <a:lin ang="0" scaled="0"/>
            </a:gradFill>
            <a:ln>
              <a:noFill/>
            </a:ln>
            <a:effectLst/>
          </c:spPr>
          <c:invertIfNegative val="0"/>
          <c:dLbls>
            <c:delete val="1"/>
          </c:dLbls>
          <c:cat>
            <c:strRef>
              <c:f>[01GDP.xls]Sheet1!$B$45:$F$45</c:f>
              <c:strCache>
                <c:ptCount val="5"/>
                <c:pt idx="0">
                  <c:v>2018年</c:v>
                </c:pt>
                <c:pt idx="1">
                  <c:v>2019年</c:v>
                </c:pt>
                <c:pt idx="2">
                  <c:v>2020年</c:v>
                </c:pt>
                <c:pt idx="3">
                  <c:v>2021年</c:v>
                </c:pt>
                <c:pt idx="4">
                  <c:v>2022年</c:v>
                </c:pt>
              </c:strCache>
            </c:strRef>
          </c:cat>
          <c:val>
            <c:numRef>
              <c:f>[01GDP.xls]Sheet1!$B$46:$F$46</c:f>
              <c:numCache>
                <c:formatCode>General</c:formatCode>
                <c:ptCount val="5"/>
                <c:pt idx="0">
                  <c:v>28981</c:v>
                </c:pt>
                <c:pt idx="1">
                  <c:v>31519</c:v>
                </c:pt>
                <c:pt idx="2">
                  <c:v>32722</c:v>
                </c:pt>
                <c:pt idx="3">
                  <c:v>35307</c:v>
                </c:pt>
                <c:pt idx="4">
                  <c:v>37016</c:v>
                </c:pt>
              </c:numCache>
            </c:numRef>
          </c:val>
        </c:ser>
        <c:ser>
          <c:idx val="2"/>
          <c:order val="2"/>
          <c:tx>
            <c:strRef>
              <c:f>"农村居民（元）"</c:f>
              <c:strCache>
                <c:ptCount val="1"/>
                <c:pt idx="0">
                  <c:v>农村居民（元）</c:v>
                </c:pt>
              </c:strCache>
            </c:strRef>
          </c:tx>
          <c:spPr>
            <a:gradFill>
              <a:gsLst>
                <a:gs pos="0">
                  <a:srgbClr val="FECF40"/>
                </a:gs>
                <a:gs pos="100000">
                  <a:srgbClr val="846C21"/>
                </a:gs>
              </a:gsLst>
              <a:lin ang="0" scaled="0"/>
            </a:gradFill>
            <a:ln>
              <a:noFill/>
            </a:ln>
            <a:effectLst/>
          </c:spPr>
          <c:invertIfNegative val="0"/>
          <c:dLbls>
            <c:delete val="1"/>
          </c:dLbls>
          <c:cat>
            <c:strRef>
              <c:f>[01GDP.xls]Sheet1!$B$45:$F$45</c:f>
              <c:strCache>
                <c:ptCount val="5"/>
                <c:pt idx="0">
                  <c:v>2018年</c:v>
                </c:pt>
                <c:pt idx="1">
                  <c:v>2019年</c:v>
                </c:pt>
                <c:pt idx="2">
                  <c:v>2020年</c:v>
                </c:pt>
                <c:pt idx="3">
                  <c:v>2021年</c:v>
                </c:pt>
                <c:pt idx="4">
                  <c:v>2022年</c:v>
                </c:pt>
              </c:strCache>
            </c:strRef>
          </c:cat>
          <c:val>
            <c:numRef>
              <c:f>[01GDP.xls]Sheet1!$B$48:$F$48</c:f>
              <c:numCache>
                <c:formatCode>General</c:formatCode>
                <c:ptCount val="5"/>
                <c:pt idx="0">
                  <c:v>14886</c:v>
                </c:pt>
                <c:pt idx="1">
                  <c:v>16478</c:v>
                </c:pt>
                <c:pt idx="2">
                  <c:v>17484</c:v>
                </c:pt>
                <c:pt idx="3">
                  <c:v>19586</c:v>
                </c:pt>
                <c:pt idx="4">
                  <c:v>21075</c:v>
                </c:pt>
              </c:numCache>
            </c:numRef>
          </c:val>
        </c:ser>
        <c:dLbls>
          <c:showLegendKey val="0"/>
          <c:showVal val="0"/>
          <c:showCatName val="0"/>
          <c:showSerName val="0"/>
          <c:showPercent val="0"/>
          <c:showBubbleSize val="0"/>
        </c:dLbls>
        <c:gapWidth val="150"/>
        <c:overlap val="0"/>
        <c:axId val="516034078"/>
        <c:axId val="345068729"/>
      </c:barChart>
      <c:lineChart>
        <c:grouping val="standard"/>
        <c:varyColors val="0"/>
        <c:ser>
          <c:idx val="1"/>
          <c:order val="1"/>
          <c:tx>
            <c:strRef>
              <c:f>"城镇增速（%）"</c:f>
              <c:strCache>
                <c:ptCount val="1"/>
                <c:pt idx="0">
                  <c:v>城镇增速（%）</c:v>
                </c:pt>
              </c:strCache>
            </c:strRef>
          </c:tx>
          <c:spPr>
            <a:ln w="28575" cap="rnd" cmpd="sng" algn="ctr">
              <a:solidFill>
                <a:schemeClr val="accent2"/>
              </a:solidFill>
              <a:prstDash val="solid"/>
              <a:round/>
            </a:ln>
            <a:effectLst/>
          </c:spPr>
          <c:marker>
            <c:symbol val="none"/>
          </c:marker>
          <c:dLbls>
            <c:delete val="1"/>
          </c:dLbls>
          <c:cat>
            <c:strRef>
              <c:f>[01GDP.xls]Sheet1!$B$45:$F$45</c:f>
              <c:strCache>
                <c:ptCount val="5"/>
                <c:pt idx="0">
                  <c:v>2018年</c:v>
                </c:pt>
                <c:pt idx="1">
                  <c:v>2019年</c:v>
                </c:pt>
                <c:pt idx="2">
                  <c:v>2020年</c:v>
                </c:pt>
                <c:pt idx="3">
                  <c:v>2021年</c:v>
                </c:pt>
                <c:pt idx="4">
                  <c:v>2022年</c:v>
                </c:pt>
              </c:strCache>
            </c:strRef>
          </c:cat>
          <c:val>
            <c:numRef>
              <c:f>[01GDP.xls]Sheet1!$B$47:$F$47</c:f>
              <c:numCache>
                <c:formatCode>General</c:formatCode>
                <c:ptCount val="5"/>
                <c:pt idx="0">
                  <c:v>8.4</c:v>
                </c:pt>
                <c:pt idx="1">
                  <c:v>8.8</c:v>
                </c:pt>
                <c:pt idx="2">
                  <c:v>3.8</c:v>
                </c:pt>
                <c:pt idx="3">
                  <c:v>7.9</c:v>
                </c:pt>
                <c:pt idx="4">
                  <c:v>4.8</c:v>
                </c:pt>
              </c:numCache>
            </c:numRef>
          </c:val>
          <c:smooth val="0"/>
        </c:ser>
        <c:ser>
          <c:idx val="3"/>
          <c:order val="3"/>
          <c:tx>
            <c:strRef>
              <c:f>"农村增速（%）"</c:f>
              <c:strCache>
                <c:ptCount val="1"/>
                <c:pt idx="0">
                  <c:v>农村增速（%）</c:v>
                </c:pt>
              </c:strCache>
            </c:strRef>
          </c:tx>
          <c:spPr>
            <a:ln w="28575" cap="rnd" cmpd="sng" algn="ctr">
              <a:solidFill>
                <a:schemeClr val="accent4"/>
              </a:solidFill>
              <a:prstDash val="solid"/>
              <a:round/>
            </a:ln>
            <a:effectLst/>
          </c:spPr>
          <c:marker>
            <c:symbol val="none"/>
          </c:marker>
          <c:dLbls>
            <c:delete val="1"/>
          </c:dLbls>
          <c:cat>
            <c:strRef>
              <c:f>[01GDP.xls]Sheet1!$B$45:$F$45</c:f>
              <c:strCache>
                <c:ptCount val="5"/>
                <c:pt idx="0">
                  <c:v>2018年</c:v>
                </c:pt>
                <c:pt idx="1">
                  <c:v>2019年</c:v>
                </c:pt>
                <c:pt idx="2">
                  <c:v>2020年</c:v>
                </c:pt>
                <c:pt idx="3">
                  <c:v>2021年</c:v>
                </c:pt>
                <c:pt idx="4">
                  <c:v>2022年</c:v>
                </c:pt>
              </c:strCache>
            </c:strRef>
          </c:cat>
          <c:val>
            <c:numRef>
              <c:f>[01GDP.xls]Sheet1!$B$49:$F$49</c:f>
              <c:numCache>
                <c:formatCode>General</c:formatCode>
                <c:ptCount val="5"/>
                <c:pt idx="0">
                  <c:v>9.3</c:v>
                </c:pt>
                <c:pt idx="1">
                  <c:v>10.7</c:v>
                </c:pt>
                <c:pt idx="2">
                  <c:v>6.4</c:v>
                </c:pt>
                <c:pt idx="3">
                  <c:v>12</c:v>
                </c:pt>
                <c:pt idx="4">
                  <c:v>7.6</c:v>
                </c:pt>
              </c:numCache>
            </c:numRef>
          </c:val>
          <c:smooth val="0"/>
        </c:ser>
        <c:dLbls>
          <c:showLegendKey val="0"/>
          <c:showVal val="0"/>
          <c:showCatName val="0"/>
          <c:showSerName val="0"/>
          <c:showPercent val="0"/>
          <c:showBubbleSize val="0"/>
        </c:dLbls>
        <c:marker val="0"/>
        <c:smooth val="0"/>
        <c:axId val="211497436"/>
        <c:axId val="320671695"/>
      </c:lineChart>
      <c:catAx>
        <c:axId val="21149743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400" b="1" i="0" u="none" strike="noStrike" kern="1200" baseline="0">
                <a:solidFill>
                  <a:sysClr val="windowText" lastClr="000000"/>
                </a:solidFill>
                <a:latin typeface="+mn-lt"/>
                <a:ea typeface="+mn-ea"/>
                <a:cs typeface="+mn-cs"/>
              </a:defRPr>
            </a:pPr>
          </a:p>
        </c:txPr>
        <c:crossAx val="320671695"/>
        <c:crosses val="autoZero"/>
        <c:auto val="1"/>
        <c:lblAlgn val="ctr"/>
        <c:lblOffset val="100"/>
        <c:noMultiLvlLbl val="0"/>
      </c:catAx>
      <c:valAx>
        <c:axId val="320671695"/>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1400" b="1" i="0" u="none" strike="noStrike" kern="1200" baseline="0">
                <a:solidFill>
                  <a:sysClr val="windowText" lastClr="000000"/>
                </a:solidFill>
                <a:latin typeface="+mn-lt"/>
                <a:ea typeface="+mn-ea"/>
                <a:cs typeface="+mn-cs"/>
              </a:defRPr>
            </a:pPr>
          </a:p>
        </c:txPr>
        <c:crossAx val="211497436"/>
        <c:crosses val="autoZero"/>
        <c:crossBetween val="between"/>
      </c:valAx>
      <c:catAx>
        <c:axId val="516034078"/>
        <c:scaling>
          <c:orientation val="minMax"/>
        </c:scaling>
        <c:delete val="1"/>
        <c:axPos val="b"/>
        <c:majorTickMark val="none"/>
        <c:minorTickMark val="none"/>
        <c:tickLblPos val="nextTo"/>
        <c:txPr>
          <a:bodyPr rot="-60000000" spcFirstLastPara="0" vertOverflow="ellipsis" vert="horz" wrap="square" anchor="ctr" anchorCtr="1"/>
          <a:lstStyle/>
          <a:p>
            <a:pPr>
              <a:defRPr lang="zh-CN" sz="1400" b="1" i="0" u="none" strike="noStrike" kern="1200" baseline="0">
                <a:solidFill>
                  <a:srgbClr val="000000">
                    <a:alpha val="100000"/>
                  </a:srgbClr>
                </a:solidFill>
                <a:latin typeface="+mn-lt"/>
                <a:ea typeface="+mn-ea"/>
                <a:cs typeface="+mn-cs"/>
              </a:defRPr>
            </a:pPr>
          </a:p>
        </c:txPr>
        <c:crossAx val="345068729"/>
        <c:crosses val="autoZero"/>
        <c:auto val="1"/>
        <c:lblAlgn val="ctr"/>
        <c:lblOffset val="100"/>
        <c:noMultiLvlLbl val="0"/>
      </c:catAx>
      <c:valAx>
        <c:axId val="345068729"/>
        <c:scaling>
          <c:orientation val="minMax"/>
        </c:scaling>
        <c:delete val="0"/>
        <c:axPos val="r"/>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1400" b="1" i="0" u="none" strike="noStrike" kern="1200" baseline="0">
                <a:solidFill>
                  <a:sysClr val="windowText" lastClr="000000"/>
                </a:solidFill>
                <a:latin typeface="+mn-lt"/>
                <a:ea typeface="+mn-ea"/>
                <a:cs typeface="+mn-cs"/>
              </a:defRPr>
            </a:pPr>
          </a:p>
        </c:txPr>
        <c:crossAx val="516034078"/>
        <c:crosses val="max"/>
        <c:crossBetween val="between"/>
      </c:valAx>
      <c:spPr>
        <a:noFill/>
        <a:ln>
          <a:noFill/>
        </a:ln>
        <a:effectLst/>
      </c:spPr>
    </c:plotArea>
    <c:legend>
      <c:legendPos val="b"/>
      <c:legendEntry>
        <c:idx val="0"/>
        <c:txPr>
          <a:bodyPr rot="0" spcFirstLastPara="0" vertOverflow="ellipsis" vert="horz" wrap="square" anchor="ctr" anchorCtr="1"/>
          <a:lstStyle/>
          <a:p>
            <a:pPr>
              <a:defRPr lang="zh-CN" sz="1400" b="1" i="0" u="none" strike="noStrike" kern="1200" baseline="0">
                <a:solidFill>
                  <a:sysClr val="windowText" lastClr="000000"/>
                </a:solidFill>
                <a:latin typeface="+mn-lt"/>
                <a:ea typeface="+mn-ea"/>
                <a:cs typeface="+mn-cs"/>
              </a:defRPr>
            </a:pPr>
          </a:p>
        </c:txPr>
      </c:legendEntry>
      <c:legendEntry>
        <c:idx val="1"/>
        <c:txPr>
          <a:bodyPr rot="0" spcFirstLastPara="0" vertOverflow="ellipsis" vert="horz" wrap="square" anchor="ctr" anchorCtr="1"/>
          <a:lstStyle/>
          <a:p>
            <a:pPr>
              <a:defRPr lang="zh-CN" sz="1400" b="1" i="0" u="none" strike="noStrike" kern="1200" baseline="0">
                <a:solidFill>
                  <a:sysClr val="windowText" lastClr="000000"/>
                </a:solidFill>
                <a:latin typeface="+mn-lt"/>
                <a:ea typeface="+mn-ea"/>
                <a:cs typeface="+mn-cs"/>
              </a:defRPr>
            </a:pPr>
          </a:p>
        </c:txPr>
      </c:legendEntry>
      <c:legendEntry>
        <c:idx val="2"/>
        <c:txPr>
          <a:bodyPr rot="0" spcFirstLastPara="0" vertOverflow="ellipsis" vert="horz" wrap="square" anchor="ctr" anchorCtr="1"/>
          <a:lstStyle/>
          <a:p>
            <a:pPr>
              <a:defRPr lang="zh-CN" sz="1400" b="1" i="0" u="none" strike="noStrike" kern="1200" baseline="0">
                <a:solidFill>
                  <a:sysClr val="windowText" lastClr="000000"/>
                </a:solidFill>
                <a:latin typeface="+mn-lt"/>
                <a:ea typeface="+mn-ea"/>
                <a:cs typeface="+mn-cs"/>
              </a:defRPr>
            </a:pPr>
          </a:p>
        </c:txPr>
      </c:legendEntry>
      <c:legendEntry>
        <c:idx val="3"/>
        <c:txPr>
          <a:bodyPr rot="0" spcFirstLastPara="0" vertOverflow="ellipsis" vert="horz" wrap="square" anchor="ctr" anchorCtr="1"/>
          <a:lstStyle/>
          <a:p>
            <a:pPr>
              <a:defRPr lang="zh-CN" sz="1400" b="1" i="0" u="none" strike="noStrike" kern="1200" baseline="0">
                <a:solidFill>
                  <a:sysClr val="windowText" lastClr="000000"/>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400" b="1" i="0" u="none" strike="noStrike" kern="1200" baseline="0">
              <a:solidFill>
                <a:sysClr val="windowText" lastClr="000000"/>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sz="1400" b="1">
          <a:solidFill>
            <a:sysClr val="windowText" lastClr="000000"/>
          </a:solidFill>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80" b="1" i="0" u="none" strike="noStrike" kern="1200" spc="0" baseline="0">
                <a:solidFill>
                  <a:sysClr val="windowText" lastClr="000000"/>
                </a:solidFill>
                <a:latin typeface="+mn-lt"/>
                <a:ea typeface="+mn-ea"/>
                <a:cs typeface="+mn-cs"/>
              </a:defRPr>
            </a:pPr>
            <a:r>
              <a:rPr sz="1680" b="1" i="0" u="none" strike="noStrike" baseline="0">
                <a:solidFill>
                  <a:srgbClr val="000000"/>
                </a:solidFill>
                <a:latin typeface="宋体" panose="02010600030101010101" charset="-122"/>
                <a:ea typeface="宋体" panose="02010600030101010101" charset="-122"/>
                <a:cs typeface="宋体" panose="02010600030101010101" charset="-122"/>
              </a:rPr>
              <a:t>固定资产投资增速（</a:t>
            </a:r>
            <a:r>
              <a:rPr lang="en-US" altLang="zh-CN" sz="1680" b="1"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a:t>
            </a:r>
            <a:r>
              <a:rPr altLang="en-US" sz="1680" b="1" i="0" u="none" strike="noStrike" baseline="0">
                <a:solidFill>
                  <a:srgbClr val="000000"/>
                </a:solidFill>
                <a:latin typeface="宋体" panose="02010600030101010101" charset="-122"/>
                <a:ea typeface="宋体" panose="02010600030101010101" charset="-122"/>
                <a:cs typeface="宋体" panose="02010600030101010101" charset="-122"/>
              </a:rPr>
              <a:t>）</a:t>
            </a:r>
            <a:endParaRPr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300687830687831"/>
          <c:y val="0.0257234726688103"/>
        </c:manualLayout>
      </c:layout>
      <c:overlay val="0"/>
      <c:spPr>
        <a:noFill/>
        <a:ln>
          <a:noFill/>
        </a:ln>
        <a:effectLst/>
      </c:spPr>
    </c:title>
    <c:autoTitleDeleted val="0"/>
    <c:plotArea>
      <c:layout/>
      <c:lineChart>
        <c:grouping val="standard"/>
        <c:varyColors val="0"/>
        <c:ser>
          <c:idx val="0"/>
          <c:order val="0"/>
          <c:spPr>
            <a:ln w="28575" cap="rnd" cmpd="sng" algn="ctr">
              <a:solidFill>
                <a:schemeClr val="accent1"/>
              </a:solidFill>
              <a:prstDash val="solid"/>
              <a:round/>
            </a:ln>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a:lstStyle/>
              <a:p>
                <a:pPr>
                  <a:defRPr lang="zh-CN" sz="1400" b="1"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[01GDP.xls]Sheet1!$B$88:$F$88</c:f>
              <c:strCache>
                <c:ptCount val="5"/>
                <c:pt idx="0">
                  <c:v>2018年</c:v>
                </c:pt>
                <c:pt idx="1">
                  <c:v>2019年</c:v>
                </c:pt>
                <c:pt idx="2">
                  <c:v>2020年</c:v>
                </c:pt>
                <c:pt idx="3">
                  <c:v>2021年</c:v>
                </c:pt>
                <c:pt idx="4">
                  <c:v>2022年</c:v>
                </c:pt>
              </c:strCache>
            </c:strRef>
          </c:cat>
          <c:val>
            <c:numRef>
              <c:f>[01GDP.xls]Sheet1!$B$89:$F$89</c:f>
              <c:numCache>
                <c:formatCode>General</c:formatCode>
                <c:ptCount val="5"/>
                <c:pt idx="0">
                  <c:v>9.3</c:v>
                </c:pt>
                <c:pt idx="1">
                  <c:v>1.8</c:v>
                </c:pt>
                <c:pt idx="2">
                  <c:v>3.9</c:v>
                </c:pt>
                <c:pt idx="3">
                  <c:v>10.9</c:v>
                </c:pt>
                <c:pt idx="4">
                  <c:v>-24.3</c:v>
                </c:pt>
              </c:numCache>
            </c:numRef>
          </c:val>
          <c:smooth val="0"/>
        </c:ser>
        <c:dLbls>
          <c:showLegendKey val="0"/>
          <c:showVal val="0"/>
          <c:showCatName val="0"/>
          <c:showSerName val="0"/>
          <c:showPercent val="0"/>
          <c:showBubbleSize val="0"/>
        </c:dLbls>
        <c:marker val="0"/>
        <c:smooth val="0"/>
        <c:axId val="154582299"/>
        <c:axId val="918446874"/>
      </c:lineChart>
      <c:catAx>
        <c:axId val="154582299"/>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400" b="1" i="0" u="none" strike="noStrike" kern="1200" baseline="0">
                <a:solidFill>
                  <a:sysClr val="windowText" lastClr="000000"/>
                </a:solidFill>
                <a:latin typeface="+mn-lt"/>
                <a:ea typeface="+mn-ea"/>
                <a:cs typeface="+mn-cs"/>
              </a:defRPr>
            </a:pPr>
          </a:p>
        </c:txPr>
        <c:crossAx val="918446874"/>
        <c:crosses val="autoZero"/>
        <c:auto val="1"/>
        <c:lblAlgn val="ctr"/>
        <c:lblOffset val="100"/>
        <c:noMultiLvlLbl val="0"/>
      </c:catAx>
      <c:valAx>
        <c:axId val="91844687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1400" b="1" i="0" u="none" strike="noStrike" kern="1200" baseline="0">
                <a:solidFill>
                  <a:sysClr val="windowText" lastClr="000000"/>
                </a:solidFill>
                <a:latin typeface="+mn-lt"/>
                <a:ea typeface="+mn-ea"/>
                <a:cs typeface="+mn-cs"/>
              </a:defRPr>
            </a:pPr>
          </a:p>
        </c:txPr>
        <c:crossAx val="1545822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80" b="1" i="0" u="none" strike="noStrike" kern="1200" spc="0" baseline="0">
                <a:solidFill>
                  <a:sysClr val="windowText" lastClr="000000"/>
                </a:solidFill>
                <a:latin typeface="+mn-lt"/>
                <a:ea typeface="+mn-ea"/>
                <a:cs typeface="+mn-cs"/>
              </a:defRPr>
            </a:pPr>
            <a:r>
              <a:rPr sz="1680" b="1">
                <a:solidFill>
                  <a:sysClr val="windowText" lastClr="000000"/>
                </a:solidFill>
              </a:rPr>
              <a:t>社会消费品零售总额总量及增速</a:t>
            </a:r>
            <a:endParaRPr sz="1680" b="1" i="0" u="none" strike="noStrike" baseline="0">
              <a:solidFill>
                <a:sysClr val="windowText" lastClr="000000"/>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0735243429556226"/>
          <c:y val="0.133628478496567"/>
          <c:w val="0.837225333907798"/>
          <c:h val="0.713769425370437"/>
        </c:manualLayout>
      </c:layout>
      <c:barChart>
        <c:barDir val="col"/>
        <c:grouping val="clustered"/>
        <c:varyColors val="0"/>
        <c:ser>
          <c:idx val="0"/>
          <c:order val="0"/>
          <c:tx>
            <c:strRef>
              <c:f>"绝对量（亿元）"</c:f>
              <c:strCache>
                <c:ptCount val="1"/>
                <c:pt idx="0">
                  <c:v>绝对量（亿元）</c:v>
                </c:pt>
              </c:strCache>
            </c:strRef>
          </c:tx>
          <c:spPr>
            <a:solidFill>
              <a:schemeClr val="accent2">
                <a:lumMod val="60000"/>
                <a:lumOff val="40000"/>
              </a:schemeClr>
            </a:solidFill>
            <a:ln>
              <a:noFill/>
            </a:ln>
            <a:effectLst/>
          </c:spPr>
          <c:invertIfNegative val="0"/>
          <c:dLbls>
            <c:dLbl>
              <c:idx val="0"/>
              <c:layout>
                <c:manualLayout>
                  <c:x val="-0.0176602804238467"/>
                  <c:y val="0.030883750395945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4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00237567310738042"/>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4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4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[01GDP.xls]Sheet1!$B$107:$F$107</c:f>
              <c:strCache>
                <c:ptCount val="5"/>
                <c:pt idx="0">
                  <c:v>2018年</c:v>
                </c:pt>
                <c:pt idx="1">
                  <c:v>2019年</c:v>
                </c:pt>
                <c:pt idx="2">
                  <c:v>2020年</c:v>
                </c:pt>
                <c:pt idx="3">
                  <c:v>2021年</c:v>
                </c:pt>
                <c:pt idx="4">
                  <c:v>2022年</c:v>
                </c:pt>
              </c:strCache>
            </c:strRef>
          </c:cat>
          <c:val>
            <c:numRef>
              <c:f>[01GDP.xls]Sheet1!$B$108:$F$108</c:f>
              <c:numCache>
                <c:formatCode>General</c:formatCode>
                <c:ptCount val="5"/>
                <c:pt idx="0">
                  <c:v>125.03</c:v>
                </c:pt>
                <c:pt idx="1">
                  <c:v>125.53</c:v>
                </c:pt>
                <c:pt idx="2">
                  <c:v>114.76</c:v>
                </c:pt>
                <c:pt idx="3">
                  <c:v>132.5</c:v>
                </c:pt>
                <c:pt idx="4">
                  <c:v>132.3</c:v>
                </c:pt>
              </c:numCache>
            </c:numRef>
          </c:val>
        </c:ser>
        <c:dLbls>
          <c:showLegendKey val="0"/>
          <c:showVal val="0"/>
          <c:showCatName val="0"/>
          <c:showSerName val="0"/>
          <c:showPercent val="0"/>
          <c:showBubbleSize val="0"/>
        </c:dLbls>
        <c:gapWidth val="150"/>
        <c:overlap val="0"/>
        <c:axId val="61735891"/>
        <c:axId val="924393922"/>
      </c:barChart>
      <c:lineChart>
        <c:grouping val="standard"/>
        <c:varyColors val="0"/>
        <c:ser>
          <c:idx val="1"/>
          <c:order val="1"/>
          <c:tx>
            <c:strRef>
              <c:f>"增速（%）"</c:f>
              <c:strCache>
                <c:ptCount val="1"/>
                <c:pt idx="0">
                  <c:v>增速（%）</c:v>
                </c:pt>
              </c:strCache>
            </c:strRef>
          </c:tx>
          <c:spPr>
            <a:ln w="28575" cap="rnd" cmpd="sng" algn="ctr">
              <a:solidFill>
                <a:schemeClr val="accent2">
                  <a:lumMod val="50000"/>
                </a:schemeClr>
              </a:solidFill>
              <a:prstDash val="solid"/>
              <a:round/>
            </a:ln>
            <a:effectLst/>
            <a:sp3d contourW="28575"/>
          </c:spPr>
          <c:marker>
            <c:symbol val="none"/>
          </c:marker>
          <c:dLbls>
            <c:dLbl>
              <c:idx val="0"/>
              <c:layout>
                <c:manualLayout>
                  <c:x val="-0.00160548003853152"/>
                  <c:y val="-0.0285080772885651"/>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400" b="1"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1400" b="1"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zh-CN" sz="1400" b="1"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extLst>
            </c:dLbl>
            <c:dLbl>
              <c:idx val="3"/>
              <c:layout/>
              <c:numFmt formatCode="General" sourceLinked="1"/>
              <c:spPr>
                <a:noFill/>
                <a:ln>
                  <a:noFill/>
                </a:ln>
                <a:effectLst/>
              </c:spPr>
              <c:txPr>
                <a:bodyPr rot="0" spcFirstLastPara="0" vertOverflow="ellipsis" vert="horz" wrap="square" lIns="38100" tIns="19050" rIns="38100" bIns="19050" anchor="ctr" anchorCtr="1"/>
                <a:lstStyle/>
                <a:p>
                  <a:pPr>
                    <a:defRPr lang="zh-CN" sz="1400" b="1"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extLst>
            </c:dLbl>
            <c:dLbl>
              <c:idx val="4"/>
              <c:layout/>
              <c:numFmt formatCode="General" sourceLinked="1"/>
              <c:spPr>
                <a:noFill/>
                <a:ln>
                  <a:noFill/>
                </a:ln>
                <a:effectLst/>
              </c:spPr>
              <c:txPr>
                <a:bodyPr rot="0" spcFirstLastPara="0" vertOverflow="ellipsis" vert="horz" wrap="square" lIns="38100" tIns="19050" rIns="38100" bIns="19050" anchor="ctr" anchorCtr="1"/>
                <a:lstStyle/>
                <a:p>
                  <a:pPr>
                    <a:defRPr lang="zh-CN" sz="1400" b="1"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[01GDP.xls]Sheet1!$B$107:$F$107</c:f>
              <c:strCache>
                <c:ptCount val="5"/>
                <c:pt idx="0">
                  <c:v>2018年</c:v>
                </c:pt>
                <c:pt idx="1">
                  <c:v>2019年</c:v>
                </c:pt>
                <c:pt idx="2">
                  <c:v>2020年</c:v>
                </c:pt>
                <c:pt idx="3">
                  <c:v>2021年</c:v>
                </c:pt>
                <c:pt idx="4">
                  <c:v>2022年</c:v>
                </c:pt>
              </c:strCache>
            </c:strRef>
          </c:cat>
          <c:val>
            <c:numRef>
              <c:f>[01GDP.xls]Sheet1!$B$109:$F$109</c:f>
              <c:numCache>
                <c:formatCode>General</c:formatCode>
                <c:ptCount val="5"/>
                <c:pt idx="0">
                  <c:v>9.4</c:v>
                </c:pt>
                <c:pt idx="1">
                  <c:v>0.4</c:v>
                </c:pt>
                <c:pt idx="2">
                  <c:v>-0.7</c:v>
                </c:pt>
                <c:pt idx="3">
                  <c:v>15.5</c:v>
                </c:pt>
                <c:pt idx="4">
                  <c:v>-0.1</c:v>
                </c:pt>
              </c:numCache>
            </c:numRef>
          </c:val>
          <c:smooth val="0"/>
        </c:ser>
        <c:dLbls>
          <c:showLegendKey val="0"/>
          <c:showVal val="0"/>
          <c:showCatName val="0"/>
          <c:showSerName val="0"/>
          <c:showPercent val="0"/>
          <c:showBubbleSize val="0"/>
        </c:dLbls>
        <c:marker val="0"/>
        <c:smooth val="0"/>
        <c:axId val="757407651"/>
        <c:axId val="334247529"/>
      </c:lineChart>
      <c:catAx>
        <c:axId val="757407651"/>
        <c:scaling>
          <c:orientation val="minMax"/>
        </c:scaling>
        <c:delete val="0"/>
        <c:axPos val="b"/>
        <c:majorTickMark val="none"/>
        <c:minorTickMark val="none"/>
        <c:tickLblPos val="low"/>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400" b="1" i="0" u="none" strike="noStrike" kern="1200" baseline="0">
                <a:solidFill>
                  <a:schemeClr val="tx1">
                    <a:lumMod val="65000"/>
                    <a:lumOff val="35000"/>
                  </a:schemeClr>
                </a:solidFill>
                <a:latin typeface="+mn-lt"/>
                <a:ea typeface="+mn-ea"/>
                <a:cs typeface="+mn-cs"/>
              </a:defRPr>
            </a:pPr>
          </a:p>
        </c:txPr>
        <c:crossAx val="334247529"/>
        <c:crosses val="autoZero"/>
        <c:auto val="1"/>
        <c:lblAlgn val="ctr"/>
        <c:lblOffset val="100"/>
        <c:noMultiLvlLbl val="0"/>
      </c:catAx>
      <c:valAx>
        <c:axId val="334247529"/>
        <c:scaling>
          <c:orientation val="minMax"/>
          <c:max val="50"/>
          <c:min val="-1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1400" b="1" i="0" u="none" strike="noStrike" kern="1200" baseline="0">
                <a:solidFill>
                  <a:schemeClr val="tx1">
                    <a:lumMod val="65000"/>
                    <a:lumOff val="35000"/>
                  </a:schemeClr>
                </a:solidFill>
                <a:latin typeface="+mn-lt"/>
                <a:ea typeface="+mn-ea"/>
                <a:cs typeface="+mn-cs"/>
              </a:defRPr>
            </a:pPr>
          </a:p>
        </c:txPr>
        <c:crossAx val="757407651"/>
        <c:crosses val="autoZero"/>
        <c:crossBetween val="between"/>
      </c:valAx>
      <c:catAx>
        <c:axId val="61735891"/>
        <c:scaling>
          <c:orientation val="minMax"/>
        </c:scaling>
        <c:delete val="1"/>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rgbClr val="595959">
                    <a:alpha val="100000"/>
                  </a:srgbClr>
                </a:solidFill>
                <a:latin typeface="+mn-lt"/>
                <a:ea typeface="+mn-ea"/>
                <a:cs typeface="+mn-cs"/>
              </a:defRPr>
            </a:pPr>
          </a:p>
        </c:txPr>
        <c:crossAx val="924393922"/>
        <c:crosses val="autoZero"/>
        <c:auto val="1"/>
        <c:lblAlgn val="ctr"/>
        <c:lblOffset val="100"/>
        <c:noMultiLvlLbl val="0"/>
      </c:catAx>
      <c:valAx>
        <c:axId val="924393922"/>
        <c:scaling>
          <c:orientation val="minMax"/>
        </c:scaling>
        <c:delete val="0"/>
        <c:axPos val="r"/>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1400" b="1" i="0" u="none" strike="noStrike" kern="1200" baseline="0">
                <a:solidFill>
                  <a:schemeClr val="tx1">
                    <a:lumMod val="65000"/>
                    <a:lumOff val="35000"/>
                  </a:schemeClr>
                </a:solidFill>
                <a:latin typeface="+mn-lt"/>
                <a:ea typeface="+mn-ea"/>
                <a:cs typeface="+mn-cs"/>
              </a:defRPr>
            </a:pPr>
          </a:p>
        </c:txPr>
        <c:crossAx val="61735891"/>
        <c:crosses val="max"/>
        <c:crossBetween val="between"/>
      </c:valAx>
      <c:spPr>
        <a:noFill/>
        <a:ln>
          <a:noFill/>
        </a:ln>
        <a:effectLst/>
      </c:spPr>
    </c:plotArea>
    <c:legend>
      <c:legendPos val="b"/>
      <c:legendEntry>
        <c:idx val="0"/>
        <c:txPr>
          <a:bodyPr rot="0" spcFirstLastPara="0" vertOverflow="ellipsis" vert="horz" wrap="square" anchor="ctr" anchorCtr="1"/>
          <a:lstStyle/>
          <a:p>
            <a:pPr>
              <a:defRPr lang="zh-CN" sz="14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400" b="1" i="0" u="none" strike="noStrike" kern="1200" baseline="0">
                <a:solidFill>
                  <a:schemeClr val="tx1">
                    <a:lumMod val="65000"/>
                    <a:lumOff val="35000"/>
                  </a:schemeClr>
                </a:solidFill>
                <a:latin typeface="+mn-lt"/>
                <a:ea typeface="+mn-ea"/>
                <a:cs typeface="+mn-cs"/>
              </a:defRPr>
            </a:pPr>
          </a:p>
        </c:txPr>
      </c:legendEntry>
      <c:layout>
        <c:manualLayout>
          <c:xMode val="edge"/>
          <c:yMode val="edge"/>
          <c:x val="0.218880445253131"/>
          <c:y val="0.925562242635413"/>
          <c:w val="0.662956223910949"/>
          <c:h val="0.069686411149825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1" i="0" u="none" strike="noStrike" kern="1200" spc="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r>
              <a:rPr sz="1400" b="1">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rPr>
              <a:t>高新技术产业产值占规模工业比重（</a:t>
            </a:r>
            <a:r>
              <a:rPr lang="en-US" altLang="zh-CN" sz="1400" b="1">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rPr>
              <a:t>%</a:t>
            </a:r>
            <a:r>
              <a:rPr altLang="en-US" sz="1400" b="1">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rPr>
              <a:t>）</a:t>
            </a:r>
            <a:endParaRPr altLang="en-US" sz="1400" b="1">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endParaRPr>
          </a:p>
        </c:rich>
      </c:tx>
      <c:layout>
        <c:manualLayout>
          <c:xMode val="edge"/>
          <c:yMode val="edge"/>
          <c:x val="0.174774774774775"/>
          <c:y val="0.0200611387084448"/>
        </c:manualLayout>
      </c:layout>
      <c:overlay val="0"/>
      <c:spPr>
        <a:noFill/>
        <a:ln>
          <a:noFill/>
        </a:ln>
        <a:effectLst/>
      </c:spPr>
    </c:title>
    <c:autoTitleDeleted val="0"/>
    <c:plotArea>
      <c:layout>
        <c:manualLayout>
          <c:layoutTarget val="inner"/>
          <c:xMode val="edge"/>
          <c:yMode val="edge"/>
          <c:x val="0.092305682560418"/>
          <c:y val="0.214757709251101"/>
          <c:w val="0.857661659046375"/>
          <c:h val="0.637533039647577"/>
        </c:manualLayout>
      </c:layout>
      <c:areaChart>
        <c:grouping val="standard"/>
        <c:varyColors val="0"/>
        <c:ser>
          <c:idx val="0"/>
          <c:order val="0"/>
          <c:spPr>
            <a:gradFill>
              <a:gsLst>
                <a:gs pos="0">
                  <a:srgbClr val="FBFB11"/>
                </a:gs>
                <a:gs pos="100000">
                  <a:srgbClr val="838309"/>
                </a:gs>
              </a:gsLst>
              <a:lin ang="0" scaled="0"/>
            </a:gradFill>
            <a:ln>
              <a:noFill/>
            </a:ln>
            <a:effectLst/>
          </c:spPr>
          <c:dLbls>
            <c:dLbl>
              <c:idx val="0"/>
              <c:layout>
                <c:manualLayout>
                  <c:x val="0.0206677265500795"/>
                  <c:y val="-0.14329384791746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794912559618442"/>
                  <c:y val="-0.1920137562094"/>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27186009538951"/>
                  <c:y val="-0.237867787542988"/>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4308426073132"/>
                  <c:y val="-0.263660680168131"/>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476947535771065"/>
                  <c:y val="-0.18628200229270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400" b="1" i="0" u="none" strike="noStrike" kern="1200" baseline="0">
                    <a:solidFill>
                      <a:sysClr val="windowText" lastClr="000000"/>
                    </a:solidFill>
                    <a:latin typeface="+mn-lt"/>
                    <a:ea typeface="+mn-ea"/>
                    <a:cs typeface="+mn-cs"/>
                  </a:defRPr>
                </a:pP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[01GDP.xls]Sheet1!$A$67:$E$67</c:f>
              <c:strCache>
                <c:ptCount val="5"/>
                <c:pt idx="0">
                  <c:v>2017年</c:v>
                </c:pt>
                <c:pt idx="1">
                  <c:v>2018年</c:v>
                </c:pt>
                <c:pt idx="2">
                  <c:v>2019年</c:v>
                </c:pt>
                <c:pt idx="3">
                  <c:v>2020年</c:v>
                </c:pt>
                <c:pt idx="4">
                  <c:v>2021年</c:v>
                </c:pt>
              </c:strCache>
            </c:strRef>
          </c:cat>
          <c:val>
            <c:numRef>
              <c:f>[01GDP.xls]Sheet1!$A$68:$E$68</c:f>
              <c:numCache>
                <c:formatCode>General</c:formatCode>
                <c:ptCount val="5"/>
                <c:pt idx="0">
                  <c:v>25.59</c:v>
                </c:pt>
                <c:pt idx="1">
                  <c:v>36.78</c:v>
                </c:pt>
                <c:pt idx="2">
                  <c:v>54.67</c:v>
                </c:pt>
                <c:pt idx="3">
                  <c:v>59.33</c:v>
                </c:pt>
                <c:pt idx="4">
                  <c:v>45.6</c:v>
                </c:pt>
              </c:numCache>
            </c:numRef>
          </c:val>
        </c:ser>
        <c:dLbls>
          <c:showLegendKey val="0"/>
          <c:showVal val="0"/>
          <c:showCatName val="0"/>
          <c:showSerName val="0"/>
          <c:showPercent val="0"/>
          <c:showBubbleSize val="0"/>
        </c:dLbls>
        <c:axId val="919560769"/>
        <c:axId val="359008137"/>
      </c:areaChart>
      <c:catAx>
        <c:axId val="919560769"/>
        <c:scaling>
          <c:orientation val="minMax"/>
        </c:scaling>
        <c:delete val="0"/>
        <c:axPos val="b"/>
        <c:majorGridlines>
          <c:spPr>
            <a:ln w="3175" cap="flat" cmpd="sng" algn="ctr">
              <a:solidFill>
                <a:srgbClr val="DEDEDE"/>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1200" b="1" i="0" u="none" strike="noStrike" kern="1200" baseline="0">
                <a:solidFill>
                  <a:sysClr val="windowText" lastClr="000000"/>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crossAx val="359008137"/>
        <c:crosses val="autoZero"/>
        <c:auto val="1"/>
        <c:lblAlgn val="ctr"/>
        <c:lblOffset val="100"/>
        <c:noMultiLvlLbl val="0"/>
      </c:catAx>
      <c:valAx>
        <c:axId val="359008137"/>
        <c:scaling>
          <c:orientation val="minMax"/>
        </c:scaling>
        <c:delete val="0"/>
        <c:axPos val="l"/>
        <c:majorGridlines>
          <c:spPr>
            <a:ln w="3175" cap="flat" cmpd="sng" algn="ctr">
              <a:solidFill>
                <a:srgbClr val="DEDEDE"/>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1200" b="1" i="0" u="none" strike="noStrike" kern="1200" baseline="0">
                <a:solidFill>
                  <a:sysClr val="windowText" lastClr="000000"/>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crossAx val="919560769"/>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400" b="1">
          <a:solidFill>
            <a:sysClr val="windowText" lastClr="000000"/>
          </a:solidFill>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Company>国家统计局</Company>
  <Pages>14</Pages>
  <Words>5801</Words>
  <Characters>7029</Characters>
  <Lines>51</Lines>
  <Paragraphs>14</Paragraphs>
  <TotalTime>5</TotalTime>
  <ScaleCrop>false</ScaleCrop>
  <LinksUpToDate>false</LinksUpToDate>
  <CharactersWithSpaces>7033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2021-03-22T07:44:00Z</dcterms:created>
  <dc:creator>统计局收文</dc:creator>
  <cp:lastModifiedBy>Administrator</cp:lastModifiedBy>
  <cp:lastPrinted>2021-03-23T01:58:00Z</cp:lastPrinted>
  <dcterms:modified xsi:type="dcterms:W3CDTF">2023-04-12T10:00:36Z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351905798_btnclosed</vt:lpwstr>
  </property>
  <property fmtid="{D5CDD505-2E9C-101B-9397-08002B2CF9AE}" pid="3" name="KSOProductBuildVer">
    <vt:lpwstr>2052-11.1.0.14036</vt:lpwstr>
  </property>
  <property fmtid="{D5CDD505-2E9C-101B-9397-08002B2CF9AE}" pid="4" name="ICV">
    <vt:lpwstr>C1A132423DCC4CA1B11E6C07744A38D1_13</vt:lpwstr>
  </property>
  <property fmtid="{D5CDD505-2E9C-101B-9397-08002B2CF9AE}" pid="5" name="commondata">
    <vt:lpwstr>eyJoZGlkIjoiMzNiMjFmMGVhNjFiMTFhNzZjNWIxYWRiZTQyYTliNjMifQ==</vt:lpwstr>
  </property>
</Properties>
</file>